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23E9" w14:textId="77777777" w:rsidR="002C0A15" w:rsidRDefault="002C0A15" w:rsidP="005E1EFE">
      <w:pPr>
        <w:spacing w:before="120"/>
        <w:jc w:val="center"/>
        <w:rPr>
          <w:rFonts w:ascii="Calibri" w:hAnsi="Calibri" w:cs="Calibri"/>
        </w:rPr>
      </w:pPr>
    </w:p>
    <w:tbl>
      <w:tblPr>
        <w:tblpPr w:leftFromText="180" w:rightFromText="180" w:horzAnchor="margin" w:tblpXSpec="center" w:tblpY="-452"/>
        <w:tblW w:w="4991" w:type="pct"/>
        <w:tblLayout w:type="fixed"/>
        <w:tblLook w:val="04A0" w:firstRow="1" w:lastRow="0" w:firstColumn="1" w:lastColumn="0" w:noHBand="0" w:noVBand="1"/>
      </w:tblPr>
      <w:tblGrid>
        <w:gridCol w:w="4122"/>
        <w:gridCol w:w="1589"/>
        <w:gridCol w:w="4351"/>
      </w:tblGrid>
      <w:tr w:rsidR="00ED145E" w:rsidRPr="00304022" w14:paraId="09388624" w14:textId="77777777" w:rsidTr="00ED145E">
        <w:trPr>
          <w:trHeight w:val="837"/>
        </w:trPr>
        <w:tc>
          <w:tcPr>
            <w:tcW w:w="4212" w:type="dxa"/>
            <w:vAlign w:val="center"/>
          </w:tcPr>
          <w:p w14:paraId="14660BFC" w14:textId="0BACB0CB" w:rsidR="00ED145E" w:rsidRPr="00304022" w:rsidRDefault="00DD78D3" w:rsidP="00392252">
            <w:pPr>
              <w:rPr>
                <w:rFonts w:cs="Arial"/>
                <w:b/>
                <w:szCs w:val="20"/>
              </w:rPr>
            </w:pPr>
            <w:r>
              <w:rPr>
                <w:rFonts w:cs="Arial"/>
                <w:noProof/>
              </w:rPr>
              <w:drawing>
                <wp:inline distT="0" distB="0" distL="0" distR="0" wp14:anchorId="15CB9629" wp14:editId="4E7222C5">
                  <wp:extent cx="20478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828675"/>
                          </a:xfrm>
                          <a:prstGeom prst="rect">
                            <a:avLst/>
                          </a:prstGeom>
                          <a:noFill/>
                          <a:ln>
                            <a:noFill/>
                          </a:ln>
                        </pic:spPr>
                      </pic:pic>
                    </a:graphicData>
                  </a:graphic>
                </wp:inline>
              </w:drawing>
            </w:r>
          </w:p>
        </w:tc>
        <w:tc>
          <w:tcPr>
            <w:tcW w:w="1620" w:type="dxa"/>
            <w:vAlign w:val="center"/>
          </w:tcPr>
          <w:p w14:paraId="29E67F3E" w14:textId="7D28BD8B" w:rsidR="00ED145E" w:rsidRPr="00304022" w:rsidRDefault="00DD78D3" w:rsidP="00392252">
            <w:pPr>
              <w:jc w:val="center"/>
              <w:rPr>
                <w:rFonts w:cs="Arial"/>
              </w:rPr>
            </w:pPr>
            <w:r>
              <w:rPr>
                <w:noProof/>
              </w:rPr>
              <w:drawing>
                <wp:inline distT="0" distB="0" distL="0" distR="0" wp14:anchorId="7608AA12" wp14:editId="221E3D77">
                  <wp:extent cx="685800" cy="685800"/>
                  <wp:effectExtent l="0" t="0" r="0" b="0"/>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446" w:type="dxa"/>
            <w:vAlign w:val="center"/>
          </w:tcPr>
          <w:p w14:paraId="0AAC25F3" w14:textId="51884B6E" w:rsidR="00ED145E" w:rsidRPr="00043436" w:rsidRDefault="00237AF8" w:rsidP="00392252">
            <w:pPr>
              <w:jc w:val="right"/>
              <w:rPr>
                <w:rFonts w:cs="Arial"/>
                <w:b/>
                <w:sz w:val="28"/>
                <w:szCs w:val="36"/>
              </w:rPr>
            </w:pPr>
            <w:r>
              <w:rPr>
                <w:rFonts w:cs="Arial"/>
                <w:b/>
                <w:sz w:val="28"/>
                <w:szCs w:val="36"/>
              </w:rPr>
              <w:t>FORM</w:t>
            </w:r>
            <w:r w:rsidR="00ED145E" w:rsidRPr="00043436">
              <w:rPr>
                <w:rFonts w:cs="Arial"/>
                <w:b/>
                <w:sz w:val="28"/>
                <w:szCs w:val="36"/>
              </w:rPr>
              <w:t xml:space="preserve">: </w:t>
            </w:r>
            <w:r w:rsidR="00924A1F">
              <w:rPr>
                <w:rFonts w:cs="Arial"/>
                <w:b/>
                <w:sz w:val="28"/>
                <w:szCs w:val="36"/>
              </w:rPr>
              <w:t>Expedited Review</w:t>
            </w:r>
            <w:r w:rsidR="00B83142">
              <w:rPr>
                <w:rStyle w:val="FootnoteReference"/>
                <w:rFonts w:cs="Arial"/>
                <w:b/>
                <w:sz w:val="28"/>
                <w:szCs w:val="36"/>
              </w:rPr>
              <w:footnoteReference w:id="1"/>
            </w:r>
          </w:p>
        </w:tc>
      </w:tr>
    </w:tbl>
    <w:p w14:paraId="40B8D583" w14:textId="77777777" w:rsidR="00401762" w:rsidRPr="00401762" w:rsidRDefault="00401762" w:rsidP="00401762">
      <w:pPr>
        <w:rPr>
          <w:vanish/>
        </w:rPr>
      </w:pPr>
    </w:p>
    <w:tbl>
      <w:tblPr>
        <w:tblpPr w:leftFromText="180" w:rightFromText="180" w:vertAnchor="text" w:tblpX="126" w:tblpY="1"/>
        <w:tblOverlap w:val="never"/>
        <w:tblW w:w="4939" w:type="pct"/>
        <w:tblLook w:val="04A0" w:firstRow="1" w:lastRow="0" w:firstColumn="1" w:lastColumn="0" w:noHBand="0" w:noVBand="1"/>
      </w:tblPr>
      <w:tblGrid>
        <w:gridCol w:w="2325"/>
        <w:gridCol w:w="2599"/>
        <w:gridCol w:w="1367"/>
        <w:gridCol w:w="3666"/>
      </w:tblGrid>
      <w:tr w:rsidR="005E1EFE" w:rsidRPr="009A2480" w14:paraId="590784D9" w14:textId="77777777" w:rsidTr="00392252">
        <w:trPr>
          <w:trHeight w:val="288"/>
        </w:trPr>
        <w:tc>
          <w:tcPr>
            <w:tcW w:w="2358" w:type="dxa"/>
            <w:tcBorders>
              <w:top w:val="single" w:sz="4" w:space="0" w:color="44546A"/>
              <w:bottom w:val="single" w:sz="4" w:space="0" w:color="44546A"/>
            </w:tcBorders>
            <w:vAlign w:val="center"/>
          </w:tcPr>
          <w:p w14:paraId="637A67BA" w14:textId="77777777" w:rsidR="005E1EFE" w:rsidRPr="004D2060" w:rsidRDefault="005E1EFE" w:rsidP="00392252">
            <w:pPr>
              <w:spacing w:before="60" w:after="60"/>
              <w:rPr>
                <w:rFonts w:cs="Arial"/>
                <w:b/>
                <w:szCs w:val="20"/>
              </w:rPr>
            </w:pPr>
            <w:r w:rsidRPr="004D2060">
              <w:rPr>
                <w:rFonts w:cs="Arial"/>
                <w:b/>
                <w:szCs w:val="20"/>
              </w:rPr>
              <w:t>Date:</w:t>
            </w:r>
          </w:p>
        </w:tc>
        <w:tc>
          <w:tcPr>
            <w:tcW w:w="7812" w:type="dxa"/>
            <w:gridSpan w:val="3"/>
            <w:tcBorders>
              <w:top w:val="single" w:sz="4" w:space="0" w:color="44546A"/>
              <w:bottom w:val="single" w:sz="4" w:space="0" w:color="44546A"/>
            </w:tcBorders>
            <w:vAlign w:val="center"/>
          </w:tcPr>
          <w:p w14:paraId="69EA3531" w14:textId="77777777" w:rsidR="005E1EFE" w:rsidRPr="004D2060" w:rsidRDefault="005E1EFE" w:rsidP="00392252">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F35279" w:rsidRPr="009A2480" w14:paraId="09FB091A" w14:textId="77777777" w:rsidTr="007A7FD7">
        <w:trPr>
          <w:trHeight w:val="70"/>
        </w:trPr>
        <w:tc>
          <w:tcPr>
            <w:tcW w:w="2358" w:type="dxa"/>
            <w:tcBorders>
              <w:top w:val="single" w:sz="4" w:space="0" w:color="44546A"/>
              <w:bottom w:val="single" w:sz="4" w:space="0" w:color="44546A"/>
            </w:tcBorders>
            <w:vAlign w:val="center"/>
          </w:tcPr>
          <w:p w14:paraId="10804FD4" w14:textId="77777777" w:rsidR="00F35279" w:rsidRPr="00640209" w:rsidRDefault="00F35279" w:rsidP="00392252">
            <w:pPr>
              <w:spacing w:before="60" w:after="60"/>
              <w:rPr>
                <w:rFonts w:cs="Arial"/>
                <w:b/>
                <w:szCs w:val="20"/>
              </w:rPr>
            </w:pPr>
            <w:r>
              <w:rPr>
                <w:rFonts w:cs="Arial"/>
                <w:b/>
                <w:szCs w:val="20"/>
              </w:rPr>
              <w:t>FHIRB #:</w:t>
            </w:r>
          </w:p>
        </w:tc>
        <w:tc>
          <w:tcPr>
            <w:tcW w:w="7812" w:type="dxa"/>
            <w:gridSpan w:val="3"/>
            <w:tcBorders>
              <w:top w:val="single" w:sz="4" w:space="0" w:color="44546A"/>
              <w:bottom w:val="single" w:sz="4" w:space="0" w:color="44546A"/>
            </w:tcBorders>
            <w:vAlign w:val="center"/>
          </w:tcPr>
          <w:p w14:paraId="1FB55142" w14:textId="1E9F48F9" w:rsidR="00F35279" w:rsidRPr="00161265" w:rsidRDefault="00F35279" w:rsidP="00392252">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F35279" w:rsidRPr="009A2480" w14:paraId="51CA1D2D" w14:textId="77777777" w:rsidTr="00392252">
        <w:trPr>
          <w:trHeight w:val="70"/>
        </w:trPr>
        <w:tc>
          <w:tcPr>
            <w:tcW w:w="2358" w:type="dxa"/>
            <w:tcBorders>
              <w:top w:val="single" w:sz="4" w:space="0" w:color="44546A"/>
              <w:bottom w:val="single" w:sz="4" w:space="0" w:color="44546A"/>
            </w:tcBorders>
            <w:vAlign w:val="center"/>
          </w:tcPr>
          <w:p w14:paraId="660C1FA8" w14:textId="625723C4" w:rsidR="00F35279" w:rsidRDefault="00F35279" w:rsidP="00F35279">
            <w:pPr>
              <w:spacing w:before="60" w:after="60"/>
              <w:rPr>
                <w:rFonts w:cs="Arial"/>
                <w:b/>
                <w:szCs w:val="20"/>
              </w:rPr>
            </w:pPr>
            <w:r>
              <w:rPr>
                <w:rFonts w:cs="Arial"/>
                <w:b/>
                <w:szCs w:val="20"/>
              </w:rPr>
              <w:t>RG #:</w:t>
            </w:r>
          </w:p>
        </w:tc>
        <w:tc>
          <w:tcPr>
            <w:tcW w:w="2664" w:type="dxa"/>
            <w:tcBorders>
              <w:top w:val="single" w:sz="4" w:space="0" w:color="44546A"/>
              <w:bottom w:val="single" w:sz="4" w:space="0" w:color="44546A"/>
            </w:tcBorders>
            <w:vAlign w:val="center"/>
          </w:tcPr>
          <w:p w14:paraId="7A2758C7" w14:textId="75EA94D1" w:rsidR="00F35279" w:rsidRPr="00161265" w:rsidRDefault="00F35279" w:rsidP="00F35279">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79" w:type="dxa"/>
            <w:tcBorders>
              <w:top w:val="single" w:sz="4" w:space="0" w:color="44546A"/>
              <w:bottom w:val="single" w:sz="4" w:space="0" w:color="44546A"/>
            </w:tcBorders>
            <w:vAlign w:val="center"/>
          </w:tcPr>
          <w:p w14:paraId="5285C7F2" w14:textId="0AE04438" w:rsidR="00F35279" w:rsidRDefault="00F35279" w:rsidP="00F35279">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3769" w:type="dxa"/>
            <w:tcBorders>
              <w:top w:val="single" w:sz="4" w:space="0" w:color="44546A"/>
              <w:bottom w:val="single" w:sz="4" w:space="0" w:color="44546A"/>
            </w:tcBorders>
            <w:vAlign w:val="center"/>
          </w:tcPr>
          <w:p w14:paraId="71548047" w14:textId="435C0FC2" w:rsidR="00F35279" w:rsidRPr="00161265" w:rsidRDefault="00F35279" w:rsidP="00F35279">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F35279" w:rsidRPr="009A2480" w14:paraId="2B8B915B" w14:textId="77777777" w:rsidTr="00392252">
        <w:trPr>
          <w:trHeight w:val="70"/>
        </w:trPr>
        <w:tc>
          <w:tcPr>
            <w:tcW w:w="2358" w:type="dxa"/>
            <w:tcBorders>
              <w:top w:val="single" w:sz="4" w:space="0" w:color="44546A"/>
              <w:bottom w:val="single" w:sz="4" w:space="0" w:color="44546A"/>
            </w:tcBorders>
            <w:vAlign w:val="center"/>
          </w:tcPr>
          <w:p w14:paraId="0884A627" w14:textId="77777777" w:rsidR="00F35279" w:rsidRPr="004D2060" w:rsidRDefault="00F35279" w:rsidP="00F35279">
            <w:pPr>
              <w:spacing w:before="60" w:after="60"/>
              <w:rPr>
                <w:rFonts w:cs="Arial"/>
                <w:b/>
                <w:szCs w:val="20"/>
              </w:rPr>
            </w:pPr>
            <w:r w:rsidRPr="004D2060">
              <w:rPr>
                <w:rFonts w:cs="Arial"/>
                <w:b/>
                <w:szCs w:val="20"/>
              </w:rPr>
              <w:t>Principal Investigator:</w:t>
            </w:r>
          </w:p>
        </w:tc>
        <w:tc>
          <w:tcPr>
            <w:tcW w:w="7812" w:type="dxa"/>
            <w:gridSpan w:val="3"/>
            <w:tcBorders>
              <w:top w:val="single" w:sz="4" w:space="0" w:color="44546A"/>
              <w:bottom w:val="single" w:sz="4" w:space="0" w:color="44546A"/>
            </w:tcBorders>
            <w:vAlign w:val="center"/>
          </w:tcPr>
          <w:p w14:paraId="63E6E27C" w14:textId="77777777" w:rsidR="00F35279" w:rsidRPr="004D2060" w:rsidRDefault="00F35279" w:rsidP="00F35279">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F35279" w:rsidRPr="009A2480" w14:paraId="1EA0A6F3" w14:textId="77777777" w:rsidTr="00392252">
        <w:trPr>
          <w:trHeight w:val="70"/>
        </w:trPr>
        <w:tc>
          <w:tcPr>
            <w:tcW w:w="2358" w:type="dxa"/>
            <w:tcBorders>
              <w:top w:val="single" w:sz="4" w:space="0" w:color="44546A"/>
              <w:bottom w:val="single" w:sz="4" w:space="0" w:color="auto"/>
            </w:tcBorders>
            <w:vAlign w:val="center"/>
          </w:tcPr>
          <w:p w14:paraId="24540F86" w14:textId="77777777" w:rsidR="00F35279" w:rsidRPr="004D2060" w:rsidRDefault="00F35279" w:rsidP="00F35279">
            <w:pPr>
              <w:spacing w:before="60" w:after="60"/>
              <w:rPr>
                <w:rFonts w:cs="Arial"/>
                <w:b/>
                <w:szCs w:val="20"/>
              </w:rPr>
            </w:pPr>
            <w:r w:rsidRPr="004D2060">
              <w:rPr>
                <w:rFonts w:cs="Arial"/>
                <w:b/>
                <w:szCs w:val="20"/>
              </w:rPr>
              <w:t xml:space="preserve">Study Title: </w:t>
            </w:r>
          </w:p>
        </w:tc>
        <w:tc>
          <w:tcPr>
            <w:tcW w:w="7812" w:type="dxa"/>
            <w:gridSpan w:val="3"/>
            <w:tcBorders>
              <w:top w:val="single" w:sz="4" w:space="0" w:color="44546A"/>
              <w:bottom w:val="single" w:sz="4" w:space="0" w:color="auto"/>
            </w:tcBorders>
            <w:vAlign w:val="center"/>
          </w:tcPr>
          <w:p w14:paraId="47E45BC0" w14:textId="77777777" w:rsidR="00F35279" w:rsidRPr="004D2060" w:rsidRDefault="00F35279" w:rsidP="00F35279">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bl>
    <w:p w14:paraId="145FCC21" w14:textId="77777777" w:rsidR="00063A2E" w:rsidRDefault="00063A2E" w:rsidP="00063A2E"/>
    <w:p w14:paraId="2249093A" w14:textId="77777777" w:rsidR="0092014A" w:rsidRPr="00830907" w:rsidRDefault="00063A2E" w:rsidP="00830907">
      <w:pPr>
        <w:spacing w:after="120"/>
        <w:rPr>
          <w:b/>
          <w:bCs/>
        </w:rPr>
      </w:pPr>
      <w:r w:rsidRPr="00830907">
        <w:rPr>
          <w:b/>
          <w:bCs/>
        </w:rPr>
        <w:t xml:space="preserve">Instructions:  </w:t>
      </w:r>
    </w:p>
    <w:p w14:paraId="1965E50F" w14:textId="6DCE66C2" w:rsidR="00063A2E" w:rsidRDefault="00063A2E" w:rsidP="00830907">
      <w:pPr>
        <w:spacing w:after="120"/>
      </w:pPr>
      <w:r>
        <w:t xml:space="preserve">If you are requesting a minimal </w:t>
      </w:r>
      <w:proofErr w:type="gramStart"/>
      <w:r>
        <w:t>risk  determination</w:t>
      </w:r>
      <w:proofErr w:type="gramEnd"/>
      <w:r>
        <w:t xml:space="preserve">, complete sections A and B and attach this </w:t>
      </w:r>
      <w:proofErr w:type="spellStart"/>
      <w:r>
        <w:t>workhseet</w:t>
      </w:r>
      <w:proofErr w:type="spellEnd"/>
      <w:r>
        <w:t xml:space="preserve"> to your submission in Hutch IRB.  Contact the Institutional Review Office at IRO@fredhutch.org if you have questions about the Expedited categories or minimal risk research in general. </w:t>
      </w:r>
    </w:p>
    <w:p w14:paraId="1853BB98" w14:textId="20D8DDC2" w:rsidR="00063A2E" w:rsidRDefault="00063A2E" w:rsidP="00830907">
      <w:pPr>
        <w:spacing w:after="240"/>
      </w:pPr>
      <w:r>
        <w:t>Note: This worksheet supports the IRB in determining if the research fits into one or more regulatory Expedited categories. The formal determination, including the appropriate regulatory Expedited category or categories, will be communicated to the investigator in an approval letter.</w:t>
      </w:r>
    </w:p>
    <w:p w14:paraId="233BF004" w14:textId="176AC819" w:rsidR="00C460D5" w:rsidRPr="00C4786C" w:rsidRDefault="00C460D5" w:rsidP="002744FD">
      <w:pPr>
        <w:numPr>
          <w:ilvl w:val="0"/>
          <w:numId w:val="28"/>
        </w:numPr>
        <w:tabs>
          <w:tab w:val="left" w:pos="-720"/>
        </w:tabs>
        <w:suppressAutoHyphens/>
        <w:spacing w:before="120" w:after="120"/>
        <w:rPr>
          <w:rFonts w:cs="Arial"/>
          <w:szCs w:val="20"/>
          <w:u w:val="single"/>
        </w:rPr>
      </w:pPr>
      <w:r w:rsidRPr="00C4786C">
        <w:rPr>
          <w:rFonts w:cs="Arial"/>
          <w:b/>
          <w:szCs w:val="20"/>
          <w:u w:val="single"/>
        </w:rPr>
        <w:t>Expedited Review Research Categories</w:t>
      </w:r>
      <w:r w:rsidR="007927AD" w:rsidRPr="00C4786C">
        <w:rPr>
          <w:rFonts w:cs="Arial"/>
          <w:b/>
          <w:szCs w:val="20"/>
          <w:u w:val="single"/>
        </w:rPr>
        <w:t xml:space="preserve"> </w:t>
      </w:r>
      <w:r w:rsidR="000743D4">
        <w:rPr>
          <w:rFonts w:cs="Arial"/>
          <w:b/>
          <w:szCs w:val="20"/>
          <w:u w:val="single"/>
        </w:rPr>
        <w:t>-</w:t>
      </w:r>
      <w:r w:rsidR="007927AD" w:rsidRPr="00C4786C">
        <w:rPr>
          <w:rFonts w:cs="Arial"/>
          <w:b/>
          <w:szCs w:val="20"/>
          <w:u w:val="single"/>
        </w:rPr>
        <w:t xml:space="preserve"> </w:t>
      </w:r>
      <w:r w:rsidR="00BB6FF7" w:rsidRPr="00C4786C">
        <w:rPr>
          <w:rFonts w:cs="Arial"/>
          <w:szCs w:val="20"/>
          <w:u w:val="single"/>
        </w:rPr>
        <w:t>C</w:t>
      </w:r>
      <w:r w:rsidRPr="00C4786C">
        <w:rPr>
          <w:rFonts w:cs="Arial"/>
          <w:szCs w:val="20"/>
          <w:u w:val="single"/>
        </w:rPr>
        <w:t>heck the appropriate checkbox</w:t>
      </w:r>
      <w:r w:rsidR="00023EE8" w:rsidRPr="00C4786C">
        <w:rPr>
          <w:rFonts w:cs="Arial"/>
          <w:szCs w:val="20"/>
          <w:u w:val="single"/>
        </w:rPr>
        <w:t>(</w:t>
      </w:r>
      <w:r w:rsidR="00E96B6F" w:rsidRPr="00C4786C">
        <w:rPr>
          <w:rFonts w:cs="Arial"/>
          <w:szCs w:val="20"/>
          <w:u w:val="single"/>
        </w:rPr>
        <w:t>e</w:t>
      </w:r>
      <w:r w:rsidR="00023EE8" w:rsidRPr="00C4786C">
        <w:rPr>
          <w:rFonts w:cs="Arial"/>
          <w:szCs w:val="20"/>
          <w:u w:val="single"/>
        </w:rPr>
        <w:t>s)</w:t>
      </w:r>
      <w:r w:rsidRPr="00C4786C">
        <w:rPr>
          <w:rFonts w:cs="Arial"/>
          <w:szCs w:val="20"/>
          <w:u w:val="single"/>
        </w:rPr>
        <w:t xml:space="preserve"> below to indicate </w:t>
      </w:r>
      <w:r w:rsidR="00C84A11" w:rsidRPr="00C4786C">
        <w:rPr>
          <w:rFonts w:cs="Arial"/>
          <w:szCs w:val="20"/>
          <w:u w:val="single"/>
        </w:rPr>
        <w:t xml:space="preserve">under which category </w:t>
      </w:r>
      <w:r w:rsidRPr="00C4786C">
        <w:rPr>
          <w:rFonts w:cs="Arial"/>
          <w:szCs w:val="20"/>
          <w:u w:val="single"/>
        </w:rPr>
        <w:t xml:space="preserve">the research activity may </w:t>
      </w:r>
      <w:r w:rsidR="001023F6" w:rsidRPr="00C4786C">
        <w:rPr>
          <w:rFonts w:cs="Arial"/>
          <w:szCs w:val="20"/>
          <w:u w:val="single"/>
        </w:rPr>
        <w:t>fit</w:t>
      </w:r>
      <w:r w:rsidR="00047E5D">
        <w:rPr>
          <w:rStyle w:val="FootnoteReference"/>
          <w:rFonts w:cs="Arial"/>
          <w:szCs w:val="20"/>
          <w:u w:val="single"/>
        </w:rPr>
        <w:footnoteReference w:id="2"/>
      </w:r>
      <w:r w:rsidR="00C87A8A" w:rsidRPr="00C4786C">
        <w:rPr>
          <w:rFonts w:cs="Arial"/>
          <w:szCs w:val="20"/>
          <w:u w:val="single"/>
        </w:rPr>
        <w:t>.</w:t>
      </w:r>
      <w:r w:rsidR="00DE6E51" w:rsidRPr="00C4786C">
        <w:rPr>
          <w:rFonts w:cs="Arial"/>
          <w:szCs w:val="20"/>
          <w:u w:val="single"/>
        </w:rPr>
        <w:t xml:space="preserve"> </w:t>
      </w:r>
      <w:r w:rsidR="00DE6E51" w:rsidRPr="00C4786C">
        <w:rPr>
          <w:rFonts w:cs="Arial"/>
          <w:b/>
          <w:bCs/>
          <w:i/>
          <w:szCs w:val="20"/>
          <w:u w:val="single"/>
        </w:rPr>
        <w:t>Check all that</w:t>
      </w:r>
      <w:r w:rsidR="001023F6" w:rsidRPr="00C4786C">
        <w:rPr>
          <w:rFonts w:cs="Arial"/>
          <w:b/>
          <w:bCs/>
          <w:i/>
          <w:szCs w:val="20"/>
          <w:u w:val="single"/>
        </w:rPr>
        <w:t xml:space="preserve"> may</w:t>
      </w:r>
      <w:r w:rsidR="00DE6E51" w:rsidRPr="00C4786C">
        <w:rPr>
          <w:rFonts w:cs="Arial"/>
          <w:b/>
          <w:bCs/>
          <w:i/>
          <w:szCs w:val="20"/>
          <w:u w:val="single"/>
        </w:rPr>
        <w:t xml:space="preserve"> apply.</w:t>
      </w:r>
    </w:p>
    <w:bookmarkStart w:id="0" w:name="Check5"/>
    <w:p w14:paraId="4D739069" w14:textId="77777777" w:rsidR="00FE7E64" w:rsidRPr="005E1EFE" w:rsidRDefault="00C460D5" w:rsidP="00BB6FF7">
      <w:pPr>
        <w:tabs>
          <w:tab w:val="left" w:pos="90"/>
          <w:tab w:val="left" w:pos="360"/>
          <w:tab w:val="left" w:pos="720"/>
        </w:tabs>
        <w:suppressAutoHyphens/>
        <w:spacing w:before="240" w:after="120"/>
        <w:ind w:left="720" w:hanging="720"/>
        <w:rPr>
          <w:rFonts w:cs="Arial"/>
          <w:b/>
          <w:szCs w:val="20"/>
        </w:rPr>
      </w:pPr>
      <w:r w:rsidRPr="005E1EFE">
        <w:rPr>
          <w:rFonts w:cs="Arial"/>
          <w:b/>
          <w:szCs w:val="20"/>
        </w:rPr>
        <w:fldChar w:fldCharType="begin">
          <w:ffData>
            <w:name w:val="Check5"/>
            <w:enabled/>
            <w:calcOnExit w:val="0"/>
            <w:checkBox>
              <w:sizeAuto/>
              <w:default w:val="0"/>
            </w:checkBox>
          </w:ffData>
        </w:fldChar>
      </w:r>
      <w:r w:rsidRPr="005E1EFE">
        <w:rPr>
          <w:rFonts w:cs="Arial"/>
          <w:b/>
          <w:szCs w:val="20"/>
        </w:rPr>
        <w:instrText xml:space="preserve"> FORMCHECKBOX </w:instrText>
      </w:r>
      <w:r w:rsidR="003B5910">
        <w:rPr>
          <w:rFonts w:cs="Arial"/>
          <w:b/>
          <w:szCs w:val="20"/>
        </w:rPr>
      </w:r>
      <w:r w:rsidR="003B5910">
        <w:rPr>
          <w:rFonts w:cs="Arial"/>
          <w:b/>
          <w:szCs w:val="20"/>
        </w:rPr>
        <w:fldChar w:fldCharType="separate"/>
      </w:r>
      <w:r w:rsidRPr="005E1EFE">
        <w:rPr>
          <w:rFonts w:cs="Arial"/>
          <w:b/>
          <w:szCs w:val="20"/>
        </w:rPr>
        <w:fldChar w:fldCharType="end"/>
      </w:r>
      <w:bookmarkEnd w:id="0"/>
      <w:r w:rsidR="00FE7E64" w:rsidRPr="005E1EFE">
        <w:rPr>
          <w:rFonts w:cs="Arial"/>
          <w:b/>
          <w:szCs w:val="20"/>
        </w:rPr>
        <w:tab/>
        <w:t>1)</w:t>
      </w:r>
      <w:r w:rsidRPr="005E1EFE">
        <w:rPr>
          <w:rFonts w:cs="Arial"/>
          <w:b/>
          <w:szCs w:val="20"/>
        </w:rPr>
        <w:tab/>
        <w:t>The research study involves a Clinical study of drugs and medical devices only when condition (a) or (b) is met.</w:t>
      </w:r>
    </w:p>
    <w:p w14:paraId="6577E682" w14:textId="77777777" w:rsidR="00FE7E64" w:rsidRPr="005E1EFE" w:rsidRDefault="00023EE8" w:rsidP="008E6DA9">
      <w:pPr>
        <w:tabs>
          <w:tab w:val="left" w:pos="-720"/>
          <w:tab w:val="left" w:pos="1440"/>
        </w:tabs>
        <w:suppressAutoHyphens/>
        <w:spacing w:before="120" w:after="120"/>
        <w:ind w:left="1440" w:hanging="720"/>
        <w:rPr>
          <w:rFonts w:cs="Arial"/>
          <w:szCs w:val="20"/>
        </w:rPr>
      </w:pPr>
      <w:r w:rsidRPr="005E1EFE">
        <w:rPr>
          <w:rFonts w:cs="Arial"/>
          <w:szCs w:val="20"/>
        </w:rPr>
        <w:fldChar w:fldCharType="begin">
          <w:ffData>
            <w:name w:val="Check6"/>
            <w:enabled/>
            <w:calcOnExit w:val="0"/>
            <w:checkBox>
              <w:sizeAuto/>
              <w:default w:val="0"/>
            </w:checkBox>
          </w:ffData>
        </w:fldChar>
      </w:r>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r w:rsidRPr="005E1EFE">
        <w:rPr>
          <w:rFonts w:cs="Arial"/>
          <w:szCs w:val="20"/>
        </w:rPr>
        <w:t xml:space="preserve"> </w:t>
      </w:r>
      <w:r w:rsidR="00C460D5" w:rsidRPr="005E1EFE">
        <w:rPr>
          <w:rFonts w:cs="Arial"/>
          <w:szCs w:val="20"/>
        </w:rPr>
        <w:t>(a)</w:t>
      </w:r>
      <w:r w:rsidR="00C460D5" w:rsidRPr="005E1EFE">
        <w:rPr>
          <w:rFonts w:cs="Arial"/>
          <w:szCs w:val="20"/>
        </w:rPr>
        <w:tab/>
        <w:t>Research on drugs for which an investigational new drug application (2</w:t>
      </w:r>
      <w:r w:rsidR="00FE7E64" w:rsidRPr="005E1EFE">
        <w:rPr>
          <w:rFonts w:cs="Arial"/>
          <w:szCs w:val="20"/>
        </w:rPr>
        <w:t xml:space="preserve">1 CFR Part 312) is not </w:t>
      </w:r>
      <w:r w:rsidR="00C460D5" w:rsidRPr="005E1EFE">
        <w:rPr>
          <w:rFonts w:cs="Arial"/>
          <w:szCs w:val="20"/>
        </w:rPr>
        <w:t xml:space="preserve">required. </w:t>
      </w:r>
      <w:r w:rsidR="00C460D5" w:rsidRPr="005E1EFE">
        <w:rPr>
          <w:rFonts w:cs="Arial"/>
          <w:szCs w:val="20"/>
          <w:u w:val="single"/>
        </w:rPr>
        <w:t>Note</w:t>
      </w:r>
      <w:r w:rsidR="00C460D5" w:rsidRPr="005E1EFE">
        <w:rPr>
          <w:rFonts w:cs="Arial"/>
          <w:szCs w:val="20"/>
        </w:rPr>
        <w:t>: Research on marketed drugs that significantly increase</w:t>
      </w:r>
      <w:r w:rsidR="00666A95" w:rsidRPr="005E1EFE">
        <w:rPr>
          <w:rFonts w:cs="Arial"/>
          <w:szCs w:val="20"/>
        </w:rPr>
        <w:t xml:space="preserve">s the risks or decreases </w:t>
      </w:r>
      <w:r w:rsidR="00FE7E64" w:rsidRPr="005E1EFE">
        <w:rPr>
          <w:rFonts w:cs="Arial"/>
          <w:szCs w:val="20"/>
        </w:rPr>
        <w:t xml:space="preserve">the </w:t>
      </w:r>
      <w:r w:rsidR="00C460D5" w:rsidRPr="005E1EFE">
        <w:rPr>
          <w:rFonts w:cs="Arial"/>
          <w:szCs w:val="20"/>
        </w:rPr>
        <w:t>acceptability of the risks associated with the use of the product is not eligible for expedited review.</w:t>
      </w:r>
    </w:p>
    <w:p w14:paraId="43D2E550" w14:textId="77777777" w:rsidR="00C84A11" w:rsidRPr="005E1EFE" w:rsidRDefault="00023EE8" w:rsidP="008E6DA9">
      <w:pPr>
        <w:tabs>
          <w:tab w:val="left" w:pos="-720"/>
          <w:tab w:val="left" w:pos="1440"/>
        </w:tabs>
        <w:suppressAutoHyphens/>
        <w:spacing w:before="120" w:after="120"/>
        <w:ind w:left="1440" w:hanging="720"/>
        <w:rPr>
          <w:rFonts w:cs="Arial"/>
          <w:szCs w:val="20"/>
        </w:rPr>
      </w:pPr>
      <w:r w:rsidRPr="005E1EFE">
        <w:rPr>
          <w:rFonts w:cs="Arial"/>
          <w:szCs w:val="20"/>
        </w:rPr>
        <w:fldChar w:fldCharType="begin">
          <w:ffData>
            <w:name w:val="Check6"/>
            <w:enabled/>
            <w:calcOnExit w:val="0"/>
            <w:checkBox>
              <w:sizeAuto/>
              <w:default w:val="0"/>
            </w:checkBox>
          </w:ffData>
        </w:fldChar>
      </w:r>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r w:rsidRPr="005E1EFE">
        <w:rPr>
          <w:rFonts w:cs="Arial"/>
          <w:szCs w:val="20"/>
        </w:rPr>
        <w:t xml:space="preserve"> </w:t>
      </w:r>
      <w:r w:rsidR="00FE7E64" w:rsidRPr="005E1EFE">
        <w:rPr>
          <w:rFonts w:cs="Arial"/>
          <w:szCs w:val="20"/>
        </w:rPr>
        <w:t>(b)</w:t>
      </w:r>
      <w:r w:rsidR="00FE7E64" w:rsidRPr="005E1EFE">
        <w:rPr>
          <w:rFonts w:cs="Arial"/>
          <w:szCs w:val="20"/>
        </w:rPr>
        <w:tab/>
      </w:r>
      <w:r w:rsidR="00C460D5" w:rsidRPr="005E1EFE">
        <w:rPr>
          <w:rFonts w:cs="Arial"/>
          <w:szCs w:val="20"/>
        </w:rPr>
        <w:t>Research on medical devices for which (i) an investigational device exemption application (21 CFR Part 812) is not required; or (ii) the medical device is cleared/approved for marketing and the medical device is being used in accordance with its cleared/approved labeling.</w:t>
      </w:r>
      <w:bookmarkStart w:id="1" w:name="Check6"/>
    </w:p>
    <w:p w14:paraId="0CB410F9" w14:textId="77777777" w:rsidR="00C460D5" w:rsidRPr="005E1EFE" w:rsidRDefault="00C460D5" w:rsidP="00BB6FF7">
      <w:pPr>
        <w:tabs>
          <w:tab w:val="left" w:pos="-720"/>
          <w:tab w:val="left" w:pos="720"/>
        </w:tabs>
        <w:suppressAutoHyphens/>
        <w:spacing w:before="240" w:after="120"/>
        <w:ind w:left="360" w:hanging="360"/>
        <w:rPr>
          <w:rFonts w:cs="Arial"/>
          <w:b/>
          <w:szCs w:val="20"/>
        </w:rPr>
      </w:pPr>
      <w:r w:rsidRPr="005E1EFE">
        <w:rPr>
          <w:rFonts w:cs="Arial"/>
          <w:b/>
          <w:szCs w:val="20"/>
        </w:rPr>
        <w:fldChar w:fldCharType="begin">
          <w:ffData>
            <w:name w:val="Check6"/>
            <w:enabled/>
            <w:calcOnExit w:val="0"/>
            <w:checkBox>
              <w:sizeAuto/>
              <w:default w:val="0"/>
            </w:checkBox>
          </w:ffData>
        </w:fldChar>
      </w:r>
      <w:r w:rsidRPr="005E1EFE">
        <w:rPr>
          <w:rFonts w:cs="Arial"/>
          <w:b/>
          <w:szCs w:val="20"/>
        </w:rPr>
        <w:instrText xml:space="preserve"> FORMCHECKBOX </w:instrText>
      </w:r>
      <w:r w:rsidR="003B5910">
        <w:rPr>
          <w:rFonts w:cs="Arial"/>
          <w:b/>
          <w:szCs w:val="20"/>
        </w:rPr>
      </w:r>
      <w:r w:rsidR="003B5910">
        <w:rPr>
          <w:rFonts w:cs="Arial"/>
          <w:b/>
          <w:szCs w:val="20"/>
        </w:rPr>
        <w:fldChar w:fldCharType="separate"/>
      </w:r>
      <w:r w:rsidRPr="005E1EFE">
        <w:rPr>
          <w:rFonts w:cs="Arial"/>
          <w:b/>
          <w:szCs w:val="20"/>
        </w:rPr>
        <w:fldChar w:fldCharType="end"/>
      </w:r>
      <w:bookmarkEnd w:id="1"/>
      <w:r w:rsidR="00FE7E64" w:rsidRPr="005E1EFE">
        <w:rPr>
          <w:rFonts w:cs="Arial"/>
          <w:b/>
          <w:szCs w:val="20"/>
        </w:rPr>
        <w:tab/>
        <w:t>2)</w:t>
      </w:r>
      <w:r w:rsidRPr="005E1EFE">
        <w:rPr>
          <w:rFonts w:cs="Arial"/>
          <w:b/>
          <w:szCs w:val="20"/>
        </w:rPr>
        <w:tab/>
        <w:t>Collection of blood samples by finger stick, heel stick, ear stick, or venipuncture as follows:</w:t>
      </w:r>
    </w:p>
    <w:p w14:paraId="72FBCAF0" w14:textId="54523915" w:rsidR="00C460D5" w:rsidRPr="005E1EFE" w:rsidRDefault="00C84A11" w:rsidP="008E6DA9">
      <w:pPr>
        <w:tabs>
          <w:tab w:val="left" w:pos="-720"/>
          <w:tab w:val="left" w:pos="1440"/>
        </w:tabs>
        <w:suppressAutoHyphens/>
        <w:spacing w:before="120" w:after="120"/>
        <w:ind w:left="1440" w:hanging="720"/>
        <w:rPr>
          <w:rFonts w:cs="Arial"/>
          <w:szCs w:val="20"/>
        </w:rPr>
      </w:pPr>
      <w:r w:rsidRPr="005E1EFE">
        <w:rPr>
          <w:rFonts w:cs="Arial"/>
          <w:szCs w:val="20"/>
        </w:rPr>
        <w:fldChar w:fldCharType="begin">
          <w:ffData>
            <w:name w:val="Check6"/>
            <w:enabled/>
            <w:calcOnExit w:val="0"/>
            <w:checkBox>
              <w:sizeAuto/>
              <w:default w:val="0"/>
            </w:checkBox>
          </w:ffData>
        </w:fldChar>
      </w:r>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r w:rsidRPr="005E1EFE">
        <w:rPr>
          <w:rFonts w:cs="Arial"/>
          <w:szCs w:val="20"/>
        </w:rPr>
        <w:t xml:space="preserve"> </w:t>
      </w:r>
      <w:r w:rsidR="00FE7E64" w:rsidRPr="005E1EFE">
        <w:rPr>
          <w:rFonts w:cs="Arial"/>
          <w:szCs w:val="20"/>
        </w:rPr>
        <w:t>(a)</w:t>
      </w:r>
      <w:r w:rsidR="00C460D5" w:rsidRPr="005E1EFE">
        <w:rPr>
          <w:rFonts w:cs="Arial"/>
          <w:szCs w:val="20"/>
        </w:rPr>
        <w:tab/>
        <w:t>from healthy, non</w:t>
      </w:r>
      <w:r w:rsidRPr="005E1EFE">
        <w:rPr>
          <w:rFonts w:cs="Arial"/>
          <w:szCs w:val="20"/>
        </w:rPr>
        <w:t>-</w:t>
      </w:r>
      <w:r w:rsidR="00C460D5" w:rsidRPr="005E1EFE">
        <w:rPr>
          <w:rFonts w:cs="Arial"/>
          <w:szCs w:val="20"/>
        </w:rPr>
        <w:t>pregnant adults who weigh at least 110 pounds. For these subjects, the amounts drawn may not exceed 550 ml</w:t>
      </w:r>
      <w:r w:rsidR="002D7862">
        <w:rPr>
          <w:rStyle w:val="FootnoteReference"/>
          <w:rFonts w:cs="Arial"/>
          <w:szCs w:val="20"/>
        </w:rPr>
        <w:footnoteReference w:id="3"/>
      </w:r>
      <w:r w:rsidR="00C460D5" w:rsidRPr="005E1EFE">
        <w:rPr>
          <w:rFonts w:cs="Arial"/>
          <w:szCs w:val="20"/>
        </w:rPr>
        <w:t xml:space="preserve"> in an </w:t>
      </w:r>
      <w:proofErr w:type="gramStart"/>
      <w:r w:rsidR="00C460D5" w:rsidRPr="005E1EFE">
        <w:rPr>
          <w:rFonts w:cs="Arial"/>
          <w:szCs w:val="20"/>
        </w:rPr>
        <w:t>8 week</w:t>
      </w:r>
      <w:proofErr w:type="gramEnd"/>
      <w:r w:rsidR="00C460D5" w:rsidRPr="005E1EFE">
        <w:rPr>
          <w:rFonts w:cs="Arial"/>
          <w:szCs w:val="20"/>
        </w:rPr>
        <w:t xml:space="preserve"> period and collection may not occur more frequently than 2 times per week; </w:t>
      </w:r>
      <w:r w:rsidR="00C460D5" w:rsidRPr="005E1EFE">
        <w:rPr>
          <w:rFonts w:cs="Arial"/>
          <w:szCs w:val="20"/>
          <w:u w:val="single"/>
        </w:rPr>
        <w:t>or</w:t>
      </w:r>
    </w:p>
    <w:p w14:paraId="40A55904" w14:textId="20D70005" w:rsidR="00C460D5" w:rsidRPr="005E1EFE" w:rsidRDefault="00C84A11" w:rsidP="008E6DA9">
      <w:pPr>
        <w:tabs>
          <w:tab w:val="left" w:pos="-720"/>
          <w:tab w:val="left" w:pos="1440"/>
        </w:tabs>
        <w:suppressAutoHyphens/>
        <w:spacing w:before="120" w:after="120"/>
        <w:ind w:left="1440" w:hanging="720"/>
        <w:rPr>
          <w:rFonts w:cs="Arial"/>
          <w:szCs w:val="20"/>
        </w:rPr>
      </w:pPr>
      <w:r w:rsidRPr="005E1EFE">
        <w:rPr>
          <w:rFonts w:cs="Arial"/>
          <w:szCs w:val="20"/>
        </w:rPr>
        <w:fldChar w:fldCharType="begin">
          <w:ffData>
            <w:name w:val="Check6"/>
            <w:enabled/>
            <w:calcOnExit w:val="0"/>
            <w:checkBox>
              <w:sizeAuto/>
              <w:default w:val="0"/>
            </w:checkBox>
          </w:ffData>
        </w:fldChar>
      </w:r>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r w:rsidRPr="005E1EFE">
        <w:rPr>
          <w:rFonts w:cs="Arial"/>
          <w:szCs w:val="20"/>
        </w:rPr>
        <w:t xml:space="preserve"> </w:t>
      </w:r>
      <w:r w:rsidR="00FE7E64" w:rsidRPr="005E1EFE">
        <w:rPr>
          <w:rFonts w:cs="Arial"/>
          <w:szCs w:val="20"/>
        </w:rPr>
        <w:t>(b)</w:t>
      </w:r>
      <w:r w:rsidR="00FE7E64" w:rsidRPr="005E1EFE">
        <w:rPr>
          <w:rFonts w:cs="Arial"/>
          <w:szCs w:val="20"/>
        </w:rPr>
        <w:tab/>
      </w:r>
      <w:r w:rsidR="00C460D5" w:rsidRPr="005E1EFE">
        <w:rPr>
          <w:rFonts w:cs="Arial"/>
          <w:szCs w:val="20"/>
        </w:rPr>
        <w:t>from other adults and children</w:t>
      </w:r>
      <w:r w:rsidR="00E8273B">
        <w:rPr>
          <w:rStyle w:val="FootnoteReference"/>
          <w:rFonts w:cs="Arial"/>
          <w:szCs w:val="20"/>
        </w:rPr>
        <w:footnoteReference w:id="4"/>
      </w:r>
      <w:r w:rsidR="00C460D5" w:rsidRPr="005E1EFE">
        <w:rPr>
          <w:rFonts w:cs="Arial"/>
          <w:szCs w:val="20"/>
        </w:rPr>
        <w:t>, considering the weight, and health of the subjects, the collection procedure, the amount of blood to be collected, and the frequency with which it will be collected</w:t>
      </w:r>
      <w:r w:rsidR="001E4E23" w:rsidRPr="005E1EFE">
        <w:rPr>
          <w:rFonts w:cs="Arial"/>
          <w:szCs w:val="20"/>
        </w:rPr>
        <w:t xml:space="preserve">. </w:t>
      </w:r>
      <w:r w:rsidR="00C460D5" w:rsidRPr="005E1EFE">
        <w:rPr>
          <w:rFonts w:cs="Arial"/>
          <w:szCs w:val="20"/>
        </w:rPr>
        <w:t xml:space="preserve">For these subjects, the amount drawn may not exceed the lesser of 50 ml or 3 ml per kg in an </w:t>
      </w:r>
      <w:proofErr w:type="gramStart"/>
      <w:r w:rsidR="00C460D5" w:rsidRPr="005E1EFE">
        <w:rPr>
          <w:rFonts w:cs="Arial"/>
          <w:szCs w:val="20"/>
        </w:rPr>
        <w:t>8 week</w:t>
      </w:r>
      <w:proofErr w:type="gramEnd"/>
      <w:r w:rsidR="00C460D5" w:rsidRPr="005E1EFE">
        <w:rPr>
          <w:rFonts w:cs="Arial"/>
          <w:szCs w:val="20"/>
        </w:rPr>
        <w:t xml:space="preserve"> period and collection may not occur more frequently than 2 times per week</w:t>
      </w:r>
      <w:r w:rsidR="00024E1F">
        <w:rPr>
          <w:rStyle w:val="FootnoteReference"/>
          <w:rFonts w:cs="Arial"/>
          <w:szCs w:val="20"/>
        </w:rPr>
        <w:footnoteReference w:id="5"/>
      </w:r>
      <w:r w:rsidR="00C460D5" w:rsidRPr="005E1EFE">
        <w:rPr>
          <w:rFonts w:cs="Arial"/>
          <w:szCs w:val="20"/>
        </w:rPr>
        <w:t>.</w:t>
      </w:r>
    </w:p>
    <w:bookmarkStart w:id="2" w:name="Check7"/>
    <w:p w14:paraId="2254C3CC" w14:textId="0B8F5AC1" w:rsidR="00C84A11" w:rsidRDefault="00C460D5" w:rsidP="00BB6FF7">
      <w:pPr>
        <w:tabs>
          <w:tab w:val="left" w:pos="-720"/>
          <w:tab w:val="left" w:pos="360"/>
          <w:tab w:val="left" w:pos="720"/>
        </w:tabs>
        <w:suppressAutoHyphens/>
        <w:spacing w:before="240" w:after="120"/>
        <w:ind w:left="720" w:hanging="720"/>
        <w:rPr>
          <w:rFonts w:cs="Arial"/>
          <w:szCs w:val="20"/>
        </w:rPr>
      </w:pPr>
      <w:r w:rsidRPr="005E1EFE">
        <w:rPr>
          <w:rFonts w:cs="Arial"/>
          <w:b/>
          <w:szCs w:val="20"/>
        </w:rPr>
        <w:lastRenderedPageBreak/>
        <w:fldChar w:fldCharType="begin">
          <w:ffData>
            <w:name w:val="Check7"/>
            <w:enabled/>
            <w:calcOnExit w:val="0"/>
            <w:checkBox>
              <w:sizeAuto/>
              <w:default w:val="0"/>
            </w:checkBox>
          </w:ffData>
        </w:fldChar>
      </w:r>
      <w:r w:rsidRPr="005E1EFE">
        <w:rPr>
          <w:rFonts w:cs="Arial"/>
          <w:b/>
          <w:szCs w:val="20"/>
        </w:rPr>
        <w:instrText xml:space="preserve"> FORMCHECKBOX </w:instrText>
      </w:r>
      <w:r w:rsidR="003B5910">
        <w:rPr>
          <w:rFonts w:cs="Arial"/>
          <w:b/>
          <w:szCs w:val="20"/>
        </w:rPr>
      </w:r>
      <w:r w:rsidR="003B5910">
        <w:rPr>
          <w:rFonts w:cs="Arial"/>
          <w:b/>
          <w:szCs w:val="20"/>
        </w:rPr>
        <w:fldChar w:fldCharType="separate"/>
      </w:r>
      <w:r w:rsidRPr="005E1EFE">
        <w:rPr>
          <w:rFonts w:cs="Arial"/>
          <w:b/>
          <w:szCs w:val="20"/>
        </w:rPr>
        <w:fldChar w:fldCharType="end"/>
      </w:r>
      <w:bookmarkEnd w:id="2"/>
      <w:r w:rsidR="00FE7E64" w:rsidRPr="005E1EFE">
        <w:rPr>
          <w:rFonts w:cs="Arial"/>
          <w:b/>
          <w:szCs w:val="20"/>
        </w:rPr>
        <w:tab/>
        <w:t>3)</w:t>
      </w:r>
      <w:r w:rsidRPr="005E1EFE">
        <w:rPr>
          <w:rFonts w:cs="Arial"/>
          <w:b/>
          <w:szCs w:val="20"/>
        </w:rPr>
        <w:tab/>
        <w:t>Prospective collection of biological specimens for research purposes by noninvasive means.</w:t>
      </w:r>
      <w:r w:rsidR="00FE7E64" w:rsidRPr="005E1EFE">
        <w:rPr>
          <w:rFonts w:cs="Arial"/>
          <w:szCs w:val="20"/>
        </w:rPr>
        <w:br/>
      </w:r>
      <w:r w:rsidRPr="005E1EFE">
        <w:rPr>
          <w:rFonts w:cs="Arial"/>
          <w:i/>
          <w:szCs w:val="20"/>
        </w:rPr>
        <w:t>Examples</w:t>
      </w:r>
      <w:r w:rsidRPr="005E1EFE">
        <w:rPr>
          <w:rFonts w:cs="Arial"/>
          <w:szCs w:val="20"/>
        </w:rPr>
        <w:t>: (a) hair and nail clippings in a nondisfiguring manner; (b) deciduous teeth at time of exfoliation or if routine patient care indicates a need for extraction;(c)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27A61C84" w14:textId="77777777" w:rsidR="00830C85" w:rsidRPr="00830C85" w:rsidRDefault="00830C85" w:rsidP="00830C85">
      <w:pPr>
        <w:suppressAutoHyphens/>
        <w:spacing w:before="120" w:after="120"/>
        <w:ind w:left="720"/>
        <w:rPr>
          <w:rFonts w:cs="Arial"/>
          <w:szCs w:val="20"/>
        </w:rPr>
      </w:pPr>
      <w:r w:rsidRPr="00830C85">
        <w:rPr>
          <w:rFonts w:cs="Arial"/>
          <w:szCs w:val="20"/>
        </w:rPr>
        <w:t xml:space="preserve">Note: Nasal swabs that go beyond the nares, and nasal-pharyngeal swabs, are considered invasive and do not fit in this Expedited category.  However, the fully convened IRB could consider a request for a minimal risk determination for research involving one of these procedures.  </w:t>
      </w:r>
    </w:p>
    <w:p w14:paraId="59B74EAB" w14:textId="2AA0C7CD" w:rsidR="00830C85" w:rsidRPr="005E1EFE" w:rsidRDefault="00830C85" w:rsidP="00830C85">
      <w:pPr>
        <w:tabs>
          <w:tab w:val="left" w:pos="-720"/>
          <w:tab w:val="left" w:pos="360"/>
          <w:tab w:val="left" w:pos="720"/>
        </w:tabs>
        <w:suppressAutoHyphens/>
        <w:spacing w:before="120" w:after="120"/>
        <w:ind w:left="720" w:hanging="720"/>
        <w:rPr>
          <w:rFonts w:cs="Arial"/>
          <w:szCs w:val="20"/>
        </w:rPr>
      </w:pPr>
      <w:r w:rsidRPr="00830C85">
        <w:rPr>
          <w:rFonts w:cs="Arial"/>
          <w:szCs w:val="20"/>
        </w:rPr>
        <w:tab/>
      </w:r>
      <w:r w:rsidRPr="00830C85">
        <w:rPr>
          <w:rFonts w:cs="Arial"/>
          <w:szCs w:val="20"/>
        </w:rPr>
        <w:tab/>
        <w:t>Note: Biopsies, including skin biopsies, are considered invasive and do not fit in this Expedited category. However, the fully convened IRB could consider a request for a minimal risk determination for research involving the collection of extra biopsy material during a clinical biopsy procedure that a patient is undergoing as part of their standard medical care.</w:t>
      </w:r>
    </w:p>
    <w:bookmarkStart w:id="3" w:name="Check8"/>
    <w:p w14:paraId="28E83EAE" w14:textId="77777777" w:rsidR="00860EA7" w:rsidRPr="005E1EFE" w:rsidRDefault="00C460D5" w:rsidP="00BB6FF7">
      <w:pPr>
        <w:tabs>
          <w:tab w:val="left" w:pos="-720"/>
          <w:tab w:val="left" w:pos="360"/>
          <w:tab w:val="left" w:pos="720"/>
        </w:tabs>
        <w:suppressAutoHyphens/>
        <w:spacing w:before="240" w:after="120"/>
        <w:ind w:left="720" w:hanging="720"/>
        <w:rPr>
          <w:rFonts w:cs="Arial"/>
          <w:szCs w:val="20"/>
        </w:rPr>
      </w:pPr>
      <w:r w:rsidRPr="005E1EFE">
        <w:rPr>
          <w:rFonts w:cs="Arial"/>
          <w:szCs w:val="20"/>
        </w:rPr>
        <w:fldChar w:fldCharType="begin">
          <w:ffData>
            <w:name w:val="Check8"/>
            <w:enabled/>
            <w:calcOnExit w:val="0"/>
            <w:checkBox>
              <w:sizeAuto/>
              <w:default w:val="0"/>
            </w:checkBox>
          </w:ffData>
        </w:fldChar>
      </w:r>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bookmarkEnd w:id="3"/>
      <w:r w:rsidR="00FE7E64" w:rsidRPr="005E1EFE">
        <w:rPr>
          <w:rFonts w:cs="Arial"/>
          <w:szCs w:val="20"/>
        </w:rPr>
        <w:tab/>
      </w:r>
      <w:r w:rsidR="00FE7E64" w:rsidRPr="005E1EFE">
        <w:rPr>
          <w:rFonts w:cs="Arial"/>
          <w:b/>
          <w:szCs w:val="20"/>
        </w:rPr>
        <w:t>4)</w:t>
      </w:r>
      <w:r w:rsidRPr="005E1EFE">
        <w:rPr>
          <w:rFonts w:cs="Arial"/>
          <w:szCs w:val="20"/>
        </w:rPr>
        <w:tab/>
      </w:r>
      <w:r w:rsidRPr="005E1EFE">
        <w:rPr>
          <w:rFonts w:cs="Arial"/>
          <w:b/>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w:t>
      </w:r>
      <w:r w:rsidRPr="005E1EFE">
        <w:rPr>
          <w:rFonts w:cs="Arial"/>
          <w:szCs w:val="20"/>
        </w:rPr>
        <w:t xml:space="preserve">. </w:t>
      </w:r>
    </w:p>
    <w:p w14:paraId="70B95D51" w14:textId="77777777" w:rsidR="00C460D5" w:rsidRPr="005E1EFE" w:rsidRDefault="00860EA7" w:rsidP="00BB6FF7">
      <w:pPr>
        <w:tabs>
          <w:tab w:val="left" w:pos="-720"/>
          <w:tab w:val="left" w:pos="360"/>
          <w:tab w:val="left" w:pos="720"/>
        </w:tabs>
        <w:suppressAutoHyphens/>
        <w:spacing w:before="120"/>
        <w:ind w:left="720" w:hanging="720"/>
        <w:rPr>
          <w:rFonts w:cs="Arial"/>
          <w:szCs w:val="20"/>
        </w:rPr>
      </w:pPr>
      <w:r w:rsidRPr="005E1EFE">
        <w:rPr>
          <w:rFonts w:cs="Arial"/>
          <w:szCs w:val="20"/>
        </w:rPr>
        <w:tab/>
      </w:r>
      <w:r w:rsidRPr="005E1EFE">
        <w:rPr>
          <w:rFonts w:cs="Arial"/>
          <w:szCs w:val="20"/>
        </w:rPr>
        <w:tab/>
      </w:r>
      <w:r w:rsidRPr="005E1EFE">
        <w:rPr>
          <w:rFonts w:cs="Arial"/>
          <w:szCs w:val="20"/>
          <w:u w:val="single"/>
        </w:rPr>
        <w:t>Note</w:t>
      </w:r>
      <w:r w:rsidRPr="005E1EFE">
        <w:rPr>
          <w:rFonts w:cs="Arial"/>
          <w:szCs w:val="20"/>
        </w:rPr>
        <w:t xml:space="preserve">: </w:t>
      </w:r>
      <w:r w:rsidR="00C460D5" w:rsidRPr="005E1EFE">
        <w:rPr>
          <w:rFonts w:cs="Arial"/>
          <w:szCs w:val="20"/>
        </w:rPr>
        <w:t>Studies intended to evaluate the safety and effectiveness of the medical device are not generally eligible for expedited review, including studies of cleared medical devices for new indications.)</w:t>
      </w:r>
    </w:p>
    <w:p w14:paraId="123DF0E7" w14:textId="77777777" w:rsidR="00C460D5" w:rsidRPr="005E1EFE" w:rsidRDefault="00C460D5" w:rsidP="00BB6FF7">
      <w:pPr>
        <w:suppressAutoHyphens/>
        <w:spacing w:before="120" w:after="240"/>
        <w:ind w:left="720"/>
        <w:rPr>
          <w:rFonts w:cs="Arial"/>
          <w:szCs w:val="20"/>
        </w:rPr>
      </w:pPr>
      <w:r w:rsidRPr="005E1EFE">
        <w:rPr>
          <w:rFonts w:cs="Arial"/>
          <w:i/>
          <w:szCs w:val="20"/>
        </w:rPr>
        <w:t>Examples</w:t>
      </w:r>
      <w:r w:rsidRPr="005E1EFE">
        <w:rPr>
          <w:rFonts w:cs="Arial"/>
          <w:szCs w:val="20"/>
        </w:rPr>
        <w:t>: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bookmarkStart w:id="4" w:name="Check9"/>
    <w:p w14:paraId="6D4F86C9" w14:textId="6A9CF566" w:rsidR="00860EA7" w:rsidRPr="005E1EFE" w:rsidRDefault="00C460D5" w:rsidP="00BB6FF7">
      <w:pPr>
        <w:tabs>
          <w:tab w:val="left" w:pos="-720"/>
          <w:tab w:val="left" w:pos="360"/>
          <w:tab w:val="left" w:pos="720"/>
        </w:tabs>
        <w:suppressAutoHyphens/>
        <w:spacing w:before="240" w:after="120"/>
        <w:ind w:left="720" w:hanging="720"/>
        <w:rPr>
          <w:rFonts w:cs="Arial"/>
          <w:szCs w:val="20"/>
        </w:rPr>
      </w:pPr>
      <w:r w:rsidRPr="005E1EFE">
        <w:rPr>
          <w:rFonts w:cs="Arial"/>
          <w:szCs w:val="20"/>
        </w:rPr>
        <w:fldChar w:fldCharType="begin">
          <w:ffData>
            <w:name w:val="Check9"/>
            <w:enabled/>
            <w:calcOnExit w:val="0"/>
            <w:checkBox>
              <w:sizeAuto/>
              <w:default w:val="0"/>
            </w:checkBox>
          </w:ffData>
        </w:fldChar>
      </w:r>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bookmarkEnd w:id="4"/>
      <w:r w:rsidR="00FE7E64" w:rsidRPr="005E1EFE">
        <w:rPr>
          <w:rFonts w:cs="Arial"/>
          <w:szCs w:val="20"/>
        </w:rPr>
        <w:tab/>
      </w:r>
      <w:r w:rsidR="00FE7E64" w:rsidRPr="005E1EFE">
        <w:rPr>
          <w:rFonts w:cs="Arial"/>
          <w:b/>
          <w:szCs w:val="20"/>
        </w:rPr>
        <w:t>5)</w:t>
      </w:r>
      <w:r w:rsidRPr="005E1EFE">
        <w:rPr>
          <w:rFonts w:cs="Arial"/>
          <w:szCs w:val="20"/>
        </w:rPr>
        <w:tab/>
      </w:r>
      <w:r w:rsidRPr="006B45B9">
        <w:rPr>
          <w:rFonts w:cs="Arial"/>
          <w:b/>
          <w:szCs w:val="20"/>
        </w:rPr>
        <w:t xml:space="preserve">Research involving </w:t>
      </w:r>
      <w:r w:rsidR="009C6701" w:rsidRPr="006B45B9">
        <w:rPr>
          <w:rFonts w:cs="Arial"/>
          <w:b/>
          <w:szCs w:val="20"/>
        </w:rPr>
        <w:t xml:space="preserve">retrospective </w:t>
      </w:r>
      <w:r w:rsidRPr="006B45B9">
        <w:rPr>
          <w:rFonts w:cs="Arial"/>
          <w:b/>
          <w:szCs w:val="20"/>
        </w:rPr>
        <w:t xml:space="preserve">materials (data, documents, records, or specimens) that have </w:t>
      </w:r>
      <w:r w:rsidR="009C6701" w:rsidRPr="006B45B9">
        <w:rPr>
          <w:rFonts w:cs="Arial"/>
          <w:b/>
          <w:szCs w:val="20"/>
        </w:rPr>
        <w:t xml:space="preserve">already </w:t>
      </w:r>
      <w:r w:rsidRPr="006B45B9">
        <w:rPr>
          <w:rFonts w:cs="Arial"/>
          <w:b/>
          <w:szCs w:val="20"/>
        </w:rPr>
        <w:t>been collected</w:t>
      </w:r>
      <w:r w:rsidR="004A4B72" w:rsidRPr="006B45B9">
        <w:rPr>
          <w:rFonts w:cs="Arial"/>
          <w:b/>
          <w:szCs w:val="20"/>
        </w:rPr>
        <w:t xml:space="preserve"> for any purpose (e.g., clinical or research purposes); and/or research involving materials that</w:t>
      </w:r>
      <w:r w:rsidRPr="006B45B9">
        <w:rPr>
          <w:rFonts w:cs="Arial"/>
          <w:b/>
          <w:szCs w:val="20"/>
        </w:rPr>
        <w:t xml:space="preserve"> will be collected solely for nonresearch purposes (such as medical treatment or diagnosis)</w:t>
      </w:r>
      <w:r w:rsidR="001E4E23" w:rsidRPr="006B45B9">
        <w:rPr>
          <w:rFonts w:cs="Arial"/>
          <w:b/>
          <w:szCs w:val="20"/>
        </w:rPr>
        <w:t>.</w:t>
      </w:r>
    </w:p>
    <w:p w14:paraId="1EF2C80E" w14:textId="77777777" w:rsidR="00C460D5" w:rsidRPr="005E1EFE" w:rsidRDefault="00860EA7" w:rsidP="00BB6FF7">
      <w:pPr>
        <w:tabs>
          <w:tab w:val="left" w:pos="-720"/>
          <w:tab w:val="left" w:pos="360"/>
          <w:tab w:val="left" w:pos="720"/>
        </w:tabs>
        <w:suppressAutoHyphens/>
        <w:spacing w:before="120"/>
        <w:ind w:left="720" w:hanging="720"/>
        <w:rPr>
          <w:rFonts w:cs="Arial"/>
          <w:szCs w:val="20"/>
        </w:rPr>
      </w:pPr>
      <w:r w:rsidRPr="005E1EFE">
        <w:rPr>
          <w:rFonts w:cs="Arial"/>
          <w:szCs w:val="20"/>
        </w:rPr>
        <w:tab/>
      </w:r>
      <w:r w:rsidRPr="005E1EFE">
        <w:rPr>
          <w:rFonts w:cs="Arial"/>
          <w:szCs w:val="20"/>
        </w:rPr>
        <w:tab/>
      </w:r>
      <w:r w:rsidR="00C460D5" w:rsidRPr="005E1EFE">
        <w:rPr>
          <w:rFonts w:cs="Arial"/>
          <w:szCs w:val="20"/>
          <w:u w:val="single"/>
        </w:rPr>
        <w:t>N</w:t>
      </w:r>
      <w:r w:rsidRPr="005E1EFE">
        <w:rPr>
          <w:rFonts w:cs="Arial"/>
          <w:szCs w:val="20"/>
          <w:u w:val="single"/>
        </w:rPr>
        <w:t>ote</w:t>
      </w:r>
      <w:r w:rsidR="00C460D5" w:rsidRPr="005E1EFE">
        <w:rPr>
          <w:rFonts w:cs="Arial"/>
          <w:szCs w:val="20"/>
        </w:rPr>
        <w:t xml:space="preserve">: Some research in this category may be </w:t>
      </w:r>
      <w:r w:rsidRPr="005E1EFE">
        <w:rPr>
          <w:rFonts w:cs="Arial"/>
          <w:szCs w:val="20"/>
        </w:rPr>
        <w:t>“E</w:t>
      </w:r>
      <w:r w:rsidR="00C460D5" w:rsidRPr="005E1EFE">
        <w:rPr>
          <w:rFonts w:cs="Arial"/>
          <w:szCs w:val="20"/>
        </w:rPr>
        <w:t>xempt</w:t>
      </w:r>
      <w:r w:rsidRPr="005E1EFE">
        <w:rPr>
          <w:rFonts w:cs="Arial"/>
          <w:szCs w:val="20"/>
        </w:rPr>
        <w:t>”</w:t>
      </w:r>
      <w:r w:rsidR="00C460D5" w:rsidRPr="005E1EFE">
        <w:rPr>
          <w:rFonts w:cs="Arial"/>
          <w:szCs w:val="20"/>
        </w:rPr>
        <w:t xml:space="preserve"> from the HHS regulations for the protection of human subjects. 45 CFR 46.10</w:t>
      </w:r>
      <w:r w:rsidR="00D51A7A" w:rsidRPr="005E1EFE">
        <w:rPr>
          <w:rFonts w:cs="Arial"/>
          <w:szCs w:val="20"/>
        </w:rPr>
        <w:t>4</w:t>
      </w:r>
      <w:r w:rsidR="00C460D5" w:rsidRPr="005E1EFE">
        <w:rPr>
          <w:rFonts w:cs="Arial"/>
          <w:szCs w:val="20"/>
        </w:rPr>
        <w:t>(</w:t>
      </w:r>
      <w:r w:rsidR="00C761CC" w:rsidRPr="005E1EFE">
        <w:rPr>
          <w:rFonts w:cs="Arial"/>
          <w:szCs w:val="20"/>
        </w:rPr>
        <w:t>d</w:t>
      </w:r>
      <w:r w:rsidR="00C460D5" w:rsidRPr="005E1EFE">
        <w:rPr>
          <w:rFonts w:cs="Arial"/>
          <w:szCs w:val="20"/>
        </w:rPr>
        <w:t>)(4). This listing refers only to research that is not exempt.</w:t>
      </w:r>
    </w:p>
    <w:bookmarkStart w:id="5" w:name="Check10"/>
    <w:p w14:paraId="62F17E73" w14:textId="77777777" w:rsidR="00C460D5" w:rsidRDefault="00C460D5" w:rsidP="00BB6FF7">
      <w:pPr>
        <w:tabs>
          <w:tab w:val="left" w:pos="-720"/>
          <w:tab w:val="left" w:pos="360"/>
          <w:tab w:val="left" w:pos="720"/>
        </w:tabs>
        <w:suppressAutoHyphens/>
        <w:spacing w:before="240" w:after="120"/>
        <w:ind w:left="720" w:hanging="720"/>
        <w:rPr>
          <w:rFonts w:cs="Arial"/>
          <w:b/>
          <w:szCs w:val="20"/>
        </w:rPr>
      </w:pPr>
      <w:r w:rsidRPr="005E1EFE">
        <w:rPr>
          <w:rFonts w:cs="Arial"/>
          <w:szCs w:val="20"/>
        </w:rPr>
        <w:fldChar w:fldCharType="begin">
          <w:ffData>
            <w:name w:val="Check10"/>
            <w:enabled/>
            <w:calcOnExit w:val="0"/>
            <w:checkBox>
              <w:sizeAuto/>
              <w:default w:val="0"/>
            </w:checkBox>
          </w:ffData>
        </w:fldChar>
      </w:r>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bookmarkEnd w:id="5"/>
      <w:r w:rsidR="00FE7E64" w:rsidRPr="005E1EFE">
        <w:rPr>
          <w:rFonts w:cs="Arial"/>
          <w:szCs w:val="20"/>
        </w:rPr>
        <w:tab/>
      </w:r>
      <w:r w:rsidR="00FE7E64" w:rsidRPr="005E1EFE">
        <w:rPr>
          <w:rFonts w:cs="Arial"/>
          <w:b/>
          <w:szCs w:val="20"/>
        </w:rPr>
        <w:t>6)</w:t>
      </w:r>
      <w:r w:rsidRPr="005E1EFE">
        <w:rPr>
          <w:rFonts w:cs="Arial"/>
          <w:szCs w:val="20"/>
        </w:rPr>
        <w:tab/>
      </w:r>
      <w:r w:rsidRPr="005E1EFE">
        <w:rPr>
          <w:rFonts w:cs="Arial"/>
          <w:b/>
          <w:szCs w:val="20"/>
        </w:rPr>
        <w:t>Collection of data from voice, video, digital, or image recordings made for research purposes.</w:t>
      </w:r>
    </w:p>
    <w:p w14:paraId="4796B8D6" w14:textId="56F019DE" w:rsidR="00C53CA6" w:rsidRPr="005E1EFE" w:rsidRDefault="00C53CA6" w:rsidP="00C53CA6">
      <w:pPr>
        <w:suppressAutoHyphens/>
        <w:spacing w:after="120"/>
        <w:ind w:left="720"/>
        <w:rPr>
          <w:rFonts w:cs="Arial"/>
          <w:szCs w:val="20"/>
        </w:rPr>
      </w:pPr>
      <w:r w:rsidRPr="00C53CA6">
        <w:rPr>
          <w:rFonts w:cs="Arial"/>
          <w:szCs w:val="20"/>
        </w:rPr>
        <w:t>Note: WA state law (RCW 9.73.030) requires that some type of consent or notification occur for transmission or recording of private communications. The IRB cannot approve the recording of private communications without the prospective consent or notification of all individuals to be recorded.</w:t>
      </w:r>
    </w:p>
    <w:bookmarkStart w:id="6" w:name="Check11"/>
    <w:p w14:paraId="658CF8E9" w14:textId="77777777" w:rsidR="005953AE" w:rsidRPr="005E1EFE" w:rsidRDefault="00C460D5" w:rsidP="00BB6FF7">
      <w:pPr>
        <w:tabs>
          <w:tab w:val="left" w:pos="-720"/>
          <w:tab w:val="left" w:pos="360"/>
          <w:tab w:val="left" w:pos="720"/>
        </w:tabs>
        <w:suppressAutoHyphens/>
        <w:spacing w:before="240" w:after="120"/>
        <w:ind w:left="720" w:hanging="720"/>
        <w:rPr>
          <w:rFonts w:cs="Arial"/>
          <w:szCs w:val="20"/>
        </w:rPr>
      </w:pPr>
      <w:r w:rsidRPr="005E1EFE">
        <w:rPr>
          <w:rFonts w:cs="Arial"/>
          <w:szCs w:val="20"/>
        </w:rPr>
        <w:fldChar w:fldCharType="begin">
          <w:ffData>
            <w:name w:val="Check11"/>
            <w:enabled/>
            <w:calcOnExit w:val="0"/>
            <w:checkBox>
              <w:sizeAuto/>
              <w:default w:val="0"/>
            </w:checkBox>
          </w:ffData>
        </w:fldChar>
      </w:r>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bookmarkEnd w:id="6"/>
      <w:r w:rsidR="00FE7E64" w:rsidRPr="005E1EFE">
        <w:rPr>
          <w:rFonts w:cs="Arial"/>
          <w:szCs w:val="20"/>
        </w:rPr>
        <w:tab/>
      </w:r>
      <w:r w:rsidR="00FE7E64" w:rsidRPr="005E1EFE">
        <w:rPr>
          <w:rFonts w:cs="Arial"/>
          <w:b/>
          <w:szCs w:val="20"/>
        </w:rPr>
        <w:t>7)</w:t>
      </w:r>
      <w:r w:rsidRPr="005E1EFE">
        <w:rPr>
          <w:rFonts w:cs="Arial"/>
          <w:szCs w:val="20"/>
        </w:rPr>
        <w:tab/>
      </w:r>
      <w:r w:rsidRPr="005E1EFE">
        <w:rPr>
          <w:rFonts w:cs="Arial"/>
          <w:b/>
          <w:szCs w:val="20"/>
        </w:rPr>
        <w:t xml:space="preserve">Research on individual or group characteristics or behavior </w:t>
      </w:r>
      <w:r w:rsidRPr="005E1EFE">
        <w:rPr>
          <w:rFonts w:cs="Arial"/>
          <w:szCs w:val="20"/>
        </w:rPr>
        <w:t>(including, but no</w:t>
      </w:r>
      <w:r w:rsidR="00FE7E64" w:rsidRPr="005E1EFE">
        <w:rPr>
          <w:rFonts w:cs="Arial"/>
          <w:szCs w:val="20"/>
        </w:rPr>
        <w:t xml:space="preserve">t limited to, research </w:t>
      </w:r>
      <w:r w:rsidRPr="005E1EFE">
        <w:rPr>
          <w:rFonts w:cs="Arial"/>
          <w:szCs w:val="20"/>
        </w:rPr>
        <w:t>on perception, cognition, motivation, identity, language, communication, cultural beliefs or practices, and social behavior) or research employing survey, interview, oral history, focus group, program evaluation, human factors evaluation, or quality assurance methodologies</w:t>
      </w:r>
      <w:r w:rsidR="005953AE" w:rsidRPr="005E1EFE">
        <w:rPr>
          <w:rFonts w:cs="Arial"/>
          <w:szCs w:val="20"/>
        </w:rPr>
        <w:t>)</w:t>
      </w:r>
      <w:r w:rsidRPr="005E1EFE">
        <w:rPr>
          <w:rFonts w:cs="Arial"/>
          <w:b/>
          <w:szCs w:val="20"/>
        </w:rPr>
        <w:t>.</w:t>
      </w:r>
      <w:r w:rsidRPr="005E1EFE">
        <w:rPr>
          <w:rFonts w:cs="Arial"/>
          <w:szCs w:val="20"/>
        </w:rPr>
        <w:t xml:space="preserve"> </w:t>
      </w:r>
    </w:p>
    <w:p w14:paraId="6C35FB80" w14:textId="77777777" w:rsidR="00C460D5" w:rsidRPr="005E1EFE" w:rsidRDefault="005953AE" w:rsidP="00BB6FF7">
      <w:pPr>
        <w:tabs>
          <w:tab w:val="left" w:pos="-720"/>
          <w:tab w:val="left" w:pos="360"/>
          <w:tab w:val="left" w:pos="720"/>
        </w:tabs>
        <w:suppressAutoHyphens/>
        <w:spacing w:before="120"/>
        <w:ind w:left="720" w:hanging="720"/>
        <w:rPr>
          <w:rFonts w:cs="Arial"/>
          <w:szCs w:val="20"/>
        </w:rPr>
      </w:pPr>
      <w:r w:rsidRPr="005E1EFE">
        <w:rPr>
          <w:rFonts w:cs="Arial"/>
          <w:szCs w:val="20"/>
        </w:rPr>
        <w:tab/>
      </w:r>
      <w:r w:rsidRPr="005E1EFE">
        <w:rPr>
          <w:rFonts w:cs="Arial"/>
          <w:szCs w:val="20"/>
        </w:rPr>
        <w:tab/>
      </w:r>
      <w:r w:rsidR="00C460D5" w:rsidRPr="005E1EFE">
        <w:rPr>
          <w:rFonts w:cs="Arial"/>
          <w:szCs w:val="20"/>
          <w:u w:val="single"/>
        </w:rPr>
        <w:t>N</w:t>
      </w:r>
      <w:r w:rsidRPr="005E1EFE">
        <w:rPr>
          <w:rFonts w:cs="Arial"/>
          <w:szCs w:val="20"/>
          <w:u w:val="single"/>
        </w:rPr>
        <w:t>ote</w:t>
      </w:r>
      <w:r w:rsidR="00C460D5" w:rsidRPr="005E1EFE">
        <w:rPr>
          <w:rFonts w:cs="Arial"/>
          <w:szCs w:val="20"/>
        </w:rPr>
        <w:t xml:space="preserve">: Some research in this category may be </w:t>
      </w:r>
      <w:r w:rsidRPr="005E1EFE">
        <w:rPr>
          <w:rFonts w:cs="Arial"/>
          <w:szCs w:val="20"/>
        </w:rPr>
        <w:t>“E</w:t>
      </w:r>
      <w:r w:rsidR="00C460D5" w:rsidRPr="005E1EFE">
        <w:rPr>
          <w:rFonts w:cs="Arial"/>
          <w:szCs w:val="20"/>
        </w:rPr>
        <w:t>xempt</w:t>
      </w:r>
      <w:r w:rsidRPr="005E1EFE">
        <w:rPr>
          <w:rFonts w:cs="Arial"/>
          <w:szCs w:val="20"/>
        </w:rPr>
        <w:t xml:space="preserve">” </w:t>
      </w:r>
      <w:r w:rsidR="00C460D5" w:rsidRPr="005E1EFE">
        <w:rPr>
          <w:rFonts w:cs="Arial"/>
          <w:szCs w:val="20"/>
        </w:rPr>
        <w:t>from the HHS regulations for the protection of human subjects</w:t>
      </w:r>
      <w:r w:rsidRPr="005E1EFE">
        <w:rPr>
          <w:rFonts w:cs="Arial"/>
          <w:szCs w:val="20"/>
        </w:rPr>
        <w:t xml:space="preserve">. </w:t>
      </w:r>
      <w:r w:rsidR="00C460D5" w:rsidRPr="005E1EFE">
        <w:rPr>
          <w:rFonts w:cs="Arial"/>
          <w:szCs w:val="20"/>
        </w:rPr>
        <w:t>45 CFR 46.10</w:t>
      </w:r>
      <w:r w:rsidR="00C761CC" w:rsidRPr="005E1EFE">
        <w:rPr>
          <w:rFonts w:cs="Arial"/>
          <w:szCs w:val="20"/>
        </w:rPr>
        <w:t>4</w:t>
      </w:r>
      <w:r w:rsidR="00C460D5" w:rsidRPr="005E1EFE">
        <w:rPr>
          <w:rFonts w:cs="Arial"/>
          <w:szCs w:val="20"/>
        </w:rPr>
        <w:t>(</w:t>
      </w:r>
      <w:r w:rsidR="00C761CC" w:rsidRPr="005E1EFE">
        <w:rPr>
          <w:rFonts w:cs="Arial"/>
          <w:szCs w:val="20"/>
        </w:rPr>
        <w:t>d</w:t>
      </w:r>
      <w:r w:rsidR="00C460D5" w:rsidRPr="005E1EFE">
        <w:rPr>
          <w:rFonts w:cs="Arial"/>
          <w:szCs w:val="20"/>
        </w:rPr>
        <w:t>)(2). This listing refers only to research that is not exempt.</w:t>
      </w:r>
    </w:p>
    <w:p w14:paraId="6DFE5D2D" w14:textId="3A276FBA" w:rsidR="00C84A11" w:rsidRPr="006B45B9" w:rsidRDefault="00C84A11" w:rsidP="00045850">
      <w:pPr>
        <w:numPr>
          <w:ilvl w:val="0"/>
          <w:numId w:val="28"/>
        </w:numPr>
        <w:tabs>
          <w:tab w:val="left" w:pos="-720"/>
        </w:tabs>
        <w:suppressAutoHyphens/>
        <w:spacing w:before="240"/>
        <w:rPr>
          <w:rFonts w:cs="Arial"/>
          <w:szCs w:val="20"/>
          <w:u w:val="single"/>
        </w:rPr>
      </w:pPr>
      <w:r w:rsidRPr="006B45B9">
        <w:rPr>
          <w:rFonts w:cs="Arial"/>
          <w:b/>
          <w:szCs w:val="20"/>
          <w:u w:val="single"/>
        </w:rPr>
        <w:t xml:space="preserve">Background/Applicability — If you selected categories 1-7 above, </w:t>
      </w:r>
      <w:r w:rsidR="00C668F7" w:rsidRPr="006B45B9">
        <w:rPr>
          <w:rFonts w:cs="Arial"/>
          <w:b/>
          <w:szCs w:val="20"/>
          <w:u w:val="single"/>
        </w:rPr>
        <w:t xml:space="preserve">or if you are otherwise requesting a minimal risk determination that does not fall into the Expedited Categories, </w:t>
      </w:r>
      <w:r w:rsidRPr="006B45B9">
        <w:rPr>
          <w:rFonts w:cs="Arial"/>
          <w:b/>
          <w:szCs w:val="20"/>
          <w:u w:val="single"/>
        </w:rPr>
        <w:t xml:space="preserve">check to confirm </w:t>
      </w:r>
      <w:r w:rsidR="00F40326" w:rsidRPr="006B45B9">
        <w:rPr>
          <w:rFonts w:cs="Arial"/>
          <w:b/>
          <w:szCs w:val="20"/>
          <w:u w:val="single"/>
        </w:rPr>
        <w:t xml:space="preserve">all the criteria in this section </w:t>
      </w:r>
      <w:r w:rsidRPr="006B45B9">
        <w:rPr>
          <w:rFonts w:cs="Arial"/>
          <w:b/>
          <w:szCs w:val="20"/>
          <w:u w:val="single"/>
        </w:rPr>
        <w:t>apply to your research project.</w:t>
      </w:r>
    </w:p>
    <w:p w14:paraId="1ED48B4E" w14:textId="77777777" w:rsidR="00D35863" w:rsidRDefault="00C84A11" w:rsidP="00D35863">
      <w:pPr>
        <w:tabs>
          <w:tab w:val="left" w:pos="360"/>
        </w:tabs>
        <w:suppressAutoHyphens/>
        <w:spacing w:before="240" w:after="120"/>
        <w:ind w:left="360" w:hanging="360"/>
        <w:rPr>
          <w:rFonts w:cs="Arial"/>
          <w:szCs w:val="20"/>
        </w:rPr>
      </w:pPr>
      <w:r w:rsidRPr="005E1EFE">
        <w:rPr>
          <w:rFonts w:cs="Arial"/>
          <w:szCs w:val="20"/>
        </w:rPr>
        <w:lastRenderedPageBreak/>
        <w:fldChar w:fldCharType="begin">
          <w:ffData>
            <w:name w:val="Check1"/>
            <w:enabled/>
            <w:calcOnExit w:val="0"/>
            <w:checkBox>
              <w:sizeAuto/>
              <w:default w:val="0"/>
            </w:checkBox>
          </w:ffData>
        </w:fldChar>
      </w:r>
      <w:bookmarkStart w:id="7" w:name="Check1"/>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bookmarkEnd w:id="7"/>
      <w:r w:rsidRPr="005E1EFE">
        <w:rPr>
          <w:rFonts w:cs="Arial"/>
          <w:szCs w:val="20"/>
        </w:rPr>
        <w:tab/>
        <w:t>This research activity presents no more than minimal risk to research participants</w:t>
      </w:r>
      <w:r w:rsidR="00D35863">
        <w:rPr>
          <w:rFonts w:cs="Arial"/>
          <w:szCs w:val="20"/>
        </w:rPr>
        <w:t>.</w:t>
      </w:r>
    </w:p>
    <w:p w14:paraId="67191E0A" w14:textId="0D6B2CA3" w:rsidR="00C84A11" w:rsidRPr="005610AE" w:rsidRDefault="00D35863" w:rsidP="005610AE">
      <w:pPr>
        <w:tabs>
          <w:tab w:val="left" w:pos="360"/>
        </w:tabs>
        <w:suppressAutoHyphens/>
        <w:ind w:left="360"/>
        <w:rPr>
          <w:rFonts w:cs="Arial"/>
          <w:i/>
          <w:szCs w:val="20"/>
        </w:rPr>
      </w:pPr>
      <w:r>
        <w:rPr>
          <w:rFonts w:cs="Arial"/>
          <w:szCs w:val="20"/>
        </w:rPr>
        <w:t>Note:</w:t>
      </w:r>
      <w:r w:rsidR="00C84A11" w:rsidRPr="005E1EFE">
        <w:rPr>
          <w:rFonts w:cs="Arial"/>
          <w:szCs w:val="20"/>
        </w:rPr>
        <w:t xml:space="preserve"> </w:t>
      </w:r>
      <w:r w:rsidR="00A6348C">
        <w:rPr>
          <w:rFonts w:cs="Arial"/>
          <w:szCs w:val="20"/>
        </w:rPr>
        <w:t>If the research</w:t>
      </w:r>
      <w:r w:rsidR="007B6C25">
        <w:rPr>
          <w:rFonts w:cs="Arial"/>
          <w:szCs w:val="20"/>
        </w:rPr>
        <w:t xml:space="preserve"> </w:t>
      </w:r>
      <w:r w:rsidR="00C84A11" w:rsidRPr="005E1EFE">
        <w:rPr>
          <w:rFonts w:cs="Arial"/>
          <w:szCs w:val="20"/>
        </w:rPr>
        <w:t>involves only procedures listed in</w:t>
      </w:r>
      <w:r w:rsidR="005062B3">
        <w:rPr>
          <w:rFonts w:cs="Arial"/>
          <w:szCs w:val="20"/>
        </w:rPr>
        <w:t xml:space="preserve"> categories 1-7</w:t>
      </w:r>
      <w:r w:rsidR="00C84A11" w:rsidRPr="005E1EFE">
        <w:rPr>
          <w:rFonts w:cs="Arial"/>
          <w:szCs w:val="20"/>
        </w:rPr>
        <w:t xml:space="preserve"> </w:t>
      </w:r>
      <w:r w:rsidR="00C87A8A" w:rsidRPr="005E1EFE">
        <w:rPr>
          <w:rFonts w:cs="Arial"/>
          <w:szCs w:val="20"/>
        </w:rPr>
        <w:t>above</w:t>
      </w:r>
      <w:r w:rsidR="00C84A11" w:rsidRPr="005E1EFE">
        <w:rPr>
          <w:rFonts w:cs="Arial"/>
          <w:szCs w:val="20"/>
        </w:rPr>
        <w:t xml:space="preserve">, the Institutional Review Board (IRB) may review through the expedited review procedure authorized by 45 CFR 46.110 and 21 CFR 56.110. </w:t>
      </w:r>
      <w:r w:rsidR="00C84A11" w:rsidRPr="005E1EFE">
        <w:rPr>
          <w:rFonts w:cs="Arial"/>
          <w:i/>
          <w:szCs w:val="20"/>
        </w:rPr>
        <w:t>Inclusion on this list merely means that the activity is eligible for review through the expedited review procedure when the specific circumstances of the proposed research involve no more than minimal risk to human subjects.</w:t>
      </w:r>
    </w:p>
    <w:bookmarkStart w:id="8" w:name="Check3"/>
    <w:p w14:paraId="49A25E91" w14:textId="639C2EE5" w:rsidR="00C84A11" w:rsidRPr="005E1EFE" w:rsidRDefault="00C84A11" w:rsidP="005610AE">
      <w:pPr>
        <w:tabs>
          <w:tab w:val="left" w:pos="-720"/>
        </w:tabs>
        <w:suppressAutoHyphens/>
        <w:spacing w:before="240" w:after="120"/>
        <w:ind w:left="360" w:hanging="360"/>
        <w:rPr>
          <w:rFonts w:cs="Arial"/>
          <w:szCs w:val="20"/>
        </w:rPr>
      </w:pPr>
      <w:r w:rsidRPr="005E1EFE">
        <w:rPr>
          <w:rFonts w:cs="Arial"/>
          <w:szCs w:val="20"/>
        </w:rPr>
        <w:fldChar w:fldCharType="begin">
          <w:ffData>
            <w:name w:val="Check3"/>
            <w:enabled/>
            <w:calcOnExit w:val="0"/>
            <w:checkBox>
              <w:sizeAuto/>
              <w:default w:val="0"/>
            </w:checkBox>
          </w:ffData>
        </w:fldChar>
      </w:r>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bookmarkEnd w:id="8"/>
      <w:r w:rsidRPr="005E1EFE">
        <w:rPr>
          <w:rFonts w:cs="Arial"/>
          <w:szCs w:val="20"/>
        </w:rPr>
        <w:tab/>
        <w:t xml:space="preserve">This research activity does not involve the identification of the research participants and/or their responses that would reasonably place them at risk of criminal or civil liability or be damaging to their financial standing, employability, insurability, reputation, or be stigmatizing, unless reasonable and appropriate protections will be implemented so that risks related to invasion of privacy and breach of confidentiality are no greater than minimal. </w:t>
      </w:r>
    </w:p>
    <w:p w14:paraId="7512C0F5" w14:textId="47C452F9" w:rsidR="00C84A11" w:rsidRDefault="00C84A11" w:rsidP="00B409A1">
      <w:pPr>
        <w:tabs>
          <w:tab w:val="left" w:pos="-720"/>
          <w:tab w:val="left" w:pos="360"/>
          <w:tab w:val="left" w:pos="720"/>
        </w:tabs>
        <w:suppressAutoHyphens/>
        <w:spacing w:before="240" w:after="120"/>
        <w:ind w:left="720" w:hanging="720"/>
        <w:rPr>
          <w:rFonts w:cs="Arial"/>
          <w:szCs w:val="20"/>
        </w:rPr>
      </w:pPr>
      <w:r w:rsidRPr="005E1EFE">
        <w:rPr>
          <w:rFonts w:cs="Arial"/>
          <w:szCs w:val="20"/>
        </w:rPr>
        <w:fldChar w:fldCharType="begin">
          <w:ffData>
            <w:name w:val="Check4"/>
            <w:enabled/>
            <w:calcOnExit w:val="0"/>
            <w:checkBox>
              <w:sizeAuto/>
              <w:default w:val="0"/>
            </w:checkBox>
          </w:ffData>
        </w:fldChar>
      </w:r>
      <w:bookmarkStart w:id="9" w:name="Check4"/>
      <w:r w:rsidRPr="005E1EFE">
        <w:rPr>
          <w:rFonts w:cs="Arial"/>
          <w:szCs w:val="20"/>
        </w:rPr>
        <w:instrText xml:space="preserve"> FORMCHECKBOX </w:instrText>
      </w:r>
      <w:r w:rsidR="003B5910">
        <w:rPr>
          <w:rFonts w:cs="Arial"/>
          <w:szCs w:val="20"/>
        </w:rPr>
      </w:r>
      <w:r w:rsidR="003B5910">
        <w:rPr>
          <w:rFonts w:cs="Arial"/>
          <w:szCs w:val="20"/>
        </w:rPr>
        <w:fldChar w:fldCharType="separate"/>
      </w:r>
      <w:r w:rsidRPr="005E1EFE">
        <w:rPr>
          <w:rFonts w:cs="Arial"/>
          <w:szCs w:val="20"/>
        </w:rPr>
        <w:fldChar w:fldCharType="end"/>
      </w:r>
      <w:bookmarkEnd w:id="9"/>
      <w:r w:rsidRPr="005E1EFE">
        <w:rPr>
          <w:rFonts w:cs="Arial"/>
          <w:szCs w:val="20"/>
        </w:rPr>
        <w:tab/>
        <w:t xml:space="preserve">This research activity does not involve classified </w:t>
      </w:r>
      <w:r w:rsidR="008B64A7">
        <w:rPr>
          <w:rFonts w:cs="Arial"/>
          <w:szCs w:val="20"/>
        </w:rPr>
        <w:t>information</w:t>
      </w:r>
      <w:r w:rsidR="00EE238B">
        <w:rPr>
          <w:rStyle w:val="FootnoteReference"/>
          <w:rFonts w:cs="Arial"/>
          <w:szCs w:val="20"/>
        </w:rPr>
        <w:footnoteReference w:id="6"/>
      </w:r>
      <w:r w:rsidRPr="005E1EFE">
        <w:rPr>
          <w:rFonts w:cs="Arial"/>
          <w:szCs w:val="20"/>
        </w:rPr>
        <w:t xml:space="preserve"> involving research participants.</w:t>
      </w:r>
    </w:p>
    <w:p w14:paraId="4C24B370" w14:textId="39FA5E0C" w:rsidR="00610A7C" w:rsidRDefault="00097204" w:rsidP="00E60924">
      <w:pPr>
        <w:pBdr>
          <w:top w:val="single" w:sz="4" w:space="1" w:color="auto"/>
          <w:left w:val="single" w:sz="4" w:space="4" w:color="auto"/>
          <w:bottom w:val="single" w:sz="4" w:space="1" w:color="auto"/>
          <w:right w:val="single" w:sz="4" w:space="4" w:color="auto"/>
        </w:pBdr>
        <w:tabs>
          <w:tab w:val="left" w:pos="-720"/>
        </w:tabs>
        <w:suppressAutoHyphens/>
        <w:spacing w:before="240" w:after="120"/>
        <w:ind w:left="720" w:hanging="720"/>
        <w:rPr>
          <w:rFonts w:cs="Arial"/>
          <w:b/>
          <w:bCs/>
          <w:szCs w:val="20"/>
        </w:rPr>
      </w:pPr>
      <w:r>
        <w:rPr>
          <w:rFonts w:cs="Arial"/>
          <w:b/>
          <w:bCs/>
          <w:szCs w:val="20"/>
        </w:rPr>
        <w:t>FOR IRB USE ONLY:</w:t>
      </w:r>
    </w:p>
    <w:p w14:paraId="1755BC9F" w14:textId="1A4ACD7D" w:rsidR="00097204" w:rsidRDefault="00097204" w:rsidP="00E60924">
      <w:pPr>
        <w:pBdr>
          <w:top w:val="single" w:sz="4" w:space="1" w:color="auto"/>
          <w:left w:val="single" w:sz="4" w:space="4" w:color="auto"/>
          <w:bottom w:val="single" w:sz="4" w:space="1" w:color="auto"/>
          <w:right w:val="single" w:sz="4" w:space="4" w:color="auto"/>
        </w:pBdr>
        <w:tabs>
          <w:tab w:val="left" w:pos="-720"/>
        </w:tabs>
        <w:suppressAutoHyphens/>
        <w:spacing w:before="120" w:after="120"/>
        <w:ind w:left="720" w:hanging="720"/>
        <w:rPr>
          <w:rFonts w:cs="Arial"/>
          <w:szCs w:val="20"/>
        </w:rPr>
      </w:pPr>
      <w:r>
        <w:rPr>
          <w:rFonts w:cs="Arial"/>
          <w:szCs w:val="20"/>
        </w:rPr>
        <w:t>Notes:</w:t>
      </w:r>
    </w:p>
    <w:p w14:paraId="55B1A758" w14:textId="4735B19B" w:rsidR="00E84B26" w:rsidRPr="00E60924" w:rsidRDefault="00E84B26" w:rsidP="00E60924">
      <w:pPr>
        <w:pStyle w:val="ListParagraph"/>
        <w:numPr>
          <w:ilvl w:val="0"/>
          <w:numId w:val="33"/>
        </w:numPr>
        <w:pBdr>
          <w:top w:val="single" w:sz="4" w:space="1" w:color="auto"/>
          <w:left w:val="single" w:sz="4" w:space="4" w:color="auto"/>
          <w:bottom w:val="single" w:sz="4" w:space="1" w:color="auto"/>
          <w:right w:val="single" w:sz="4" w:space="4" w:color="auto"/>
        </w:pBdr>
        <w:tabs>
          <w:tab w:val="left" w:pos="360"/>
        </w:tabs>
        <w:suppressAutoHyphens/>
        <w:spacing w:before="120" w:after="60"/>
        <w:ind w:left="450" w:hanging="450"/>
        <w:contextualSpacing w:val="0"/>
        <w:rPr>
          <w:rFonts w:cs="Arial"/>
          <w:szCs w:val="20"/>
        </w:rPr>
      </w:pPr>
      <w:r w:rsidRPr="00E60924">
        <w:rPr>
          <w:rFonts w:cs="Arial"/>
          <w:szCs w:val="20"/>
        </w:rPr>
        <w:t xml:space="preserve">The Expedited Categories in the list apply regardless of the age of subjects, except as noted. </w:t>
      </w:r>
    </w:p>
    <w:p w14:paraId="1B6DC9B7" w14:textId="6644C0A4" w:rsidR="00E84B26" w:rsidRPr="00E60924" w:rsidRDefault="00E84B26" w:rsidP="00E60924">
      <w:pPr>
        <w:pStyle w:val="ListParagraph"/>
        <w:numPr>
          <w:ilvl w:val="0"/>
          <w:numId w:val="33"/>
        </w:numPr>
        <w:pBdr>
          <w:top w:val="single" w:sz="4" w:space="1" w:color="auto"/>
          <w:left w:val="single" w:sz="4" w:space="4" w:color="auto"/>
          <w:bottom w:val="single" w:sz="4" w:space="1" w:color="auto"/>
          <w:right w:val="single" w:sz="4" w:space="4" w:color="auto"/>
        </w:pBdr>
        <w:tabs>
          <w:tab w:val="left" w:pos="360"/>
        </w:tabs>
        <w:suppressAutoHyphens/>
        <w:spacing w:after="60"/>
        <w:ind w:left="450" w:hanging="450"/>
        <w:contextualSpacing w:val="0"/>
        <w:rPr>
          <w:rFonts w:cs="Arial"/>
          <w:szCs w:val="20"/>
        </w:rPr>
      </w:pPr>
      <w:r w:rsidRPr="00E60924">
        <w:rPr>
          <w:rFonts w:cs="Arial"/>
          <w:szCs w:val="20"/>
        </w:rPr>
        <w:t>Categories 1 through 7 above pertain to both initial and continuing IRB review</w:t>
      </w:r>
    </w:p>
    <w:p w14:paraId="7240D2C7" w14:textId="2B2CDFF1" w:rsidR="00097204" w:rsidRPr="00E60924" w:rsidRDefault="00E84B26" w:rsidP="00E60924">
      <w:pPr>
        <w:pStyle w:val="ListParagraph"/>
        <w:numPr>
          <w:ilvl w:val="0"/>
          <w:numId w:val="33"/>
        </w:numPr>
        <w:pBdr>
          <w:top w:val="single" w:sz="4" w:space="1" w:color="auto"/>
          <w:left w:val="single" w:sz="4" w:space="4" w:color="auto"/>
          <w:bottom w:val="single" w:sz="4" w:space="1" w:color="auto"/>
          <w:right w:val="single" w:sz="4" w:space="4" w:color="auto"/>
        </w:pBdr>
        <w:tabs>
          <w:tab w:val="left" w:pos="360"/>
        </w:tabs>
        <w:suppressAutoHyphens/>
        <w:spacing w:before="240" w:after="120"/>
        <w:ind w:left="360"/>
        <w:rPr>
          <w:rFonts w:cs="Arial"/>
          <w:szCs w:val="20"/>
        </w:rPr>
      </w:pPr>
      <w:r w:rsidRPr="00E60924">
        <w:rPr>
          <w:rFonts w:cs="Arial"/>
          <w:szCs w:val="20"/>
        </w:rPr>
        <w:t>IRBs are reminded that the standard requirements for informed consent (or its waiver, alteration, or exception) apply regardless of the type of review—expedited or convened—utilized by the IRB.</w:t>
      </w:r>
    </w:p>
    <w:p w14:paraId="7810835C" w14:textId="71F84CEF" w:rsidR="00ED7BD1" w:rsidRPr="00691965" w:rsidRDefault="00ED7BD1" w:rsidP="00F478EC">
      <w:pPr>
        <w:tabs>
          <w:tab w:val="left" w:pos="0"/>
        </w:tabs>
        <w:suppressAutoHyphens/>
        <w:spacing w:before="240" w:after="120"/>
        <w:rPr>
          <w:rFonts w:cs="Arial"/>
          <w:b/>
          <w:iCs/>
          <w:szCs w:val="20"/>
        </w:rPr>
      </w:pPr>
      <w:r w:rsidRPr="00691965">
        <w:rPr>
          <w:rFonts w:cs="Arial"/>
          <w:b/>
          <w:iCs/>
          <w:szCs w:val="20"/>
        </w:rPr>
        <w:t>Expedited Categories 8 and 9 below apply only to Continuing Review of research originally reviewed through a convened “Full review” meeting</w:t>
      </w:r>
    </w:p>
    <w:p w14:paraId="450B5C9F" w14:textId="72DF3566" w:rsidR="007767FF" w:rsidRPr="005E1EFE" w:rsidRDefault="00ED7BD1" w:rsidP="00F478EC">
      <w:pPr>
        <w:tabs>
          <w:tab w:val="left" w:pos="360"/>
        </w:tabs>
        <w:suppressAutoHyphens/>
        <w:spacing w:after="120"/>
        <w:ind w:left="360" w:hanging="360"/>
        <w:rPr>
          <w:rFonts w:cs="Arial"/>
          <w:szCs w:val="20"/>
        </w:rPr>
      </w:pPr>
      <w:r w:rsidRPr="00ED7BD1">
        <w:rPr>
          <w:rFonts w:cs="Arial"/>
          <w:b/>
          <w:i/>
          <w:szCs w:val="20"/>
        </w:rPr>
        <w:t xml:space="preserve"> </w:t>
      </w:r>
      <w:r w:rsidR="007767FF" w:rsidRPr="005E1EFE">
        <w:rPr>
          <w:rFonts w:cs="Arial"/>
          <w:b/>
          <w:szCs w:val="20"/>
        </w:rPr>
        <w:t>8)</w:t>
      </w:r>
      <w:r w:rsidR="007767FF" w:rsidRPr="005E1EFE">
        <w:rPr>
          <w:rFonts w:cs="Arial"/>
          <w:szCs w:val="20"/>
        </w:rPr>
        <w:tab/>
        <w:t>Continuing review of research previously approved by the convened IRB as follows:</w:t>
      </w:r>
    </w:p>
    <w:p w14:paraId="5FED24FD" w14:textId="1F482622" w:rsidR="007767FF" w:rsidRPr="005E1EFE" w:rsidRDefault="007767FF" w:rsidP="00ED7BD1">
      <w:pPr>
        <w:tabs>
          <w:tab w:val="left" w:pos="-720"/>
          <w:tab w:val="left" w:pos="720"/>
        </w:tabs>
        <w:suppressAutoHyphens/>
        <w:spacing w:before="120" w:after="120"/>
        <w:ind w:left="720" w:hanging="360"/>
        <w:rPr>
          <w:rFonts w:cs="Arial"/>
          <w:szCs w:val="20"/>
        </w:rPr>
      </w:pPr>
      <w:r w:rsidRPr="005E1EFE">
        <w:rPr>
          <w:rFonts w:cs="Arial"/>
          <w:szCs w:val="20"/>
        </w:rPr>
        <w:t>(a)</w:t>
      </w:r>
      <w:r w:rsidRPr="005E1EFE">
        <w:rPr>
          <w:rFonts w:cs="Arial"/>
          <w:szCs w:val="20"/>
        </w:rPr>
        <w:tab/>
        <w:t>where (</w:t>
      </w:r>
      <w:proofErr w:type="spellStart"/>
      <w:r w:rsidRPr="005E1EFE">
        <w:rPr>
          <w:rFonts w:cs="Arial"/>
          <w:szCs w:val="20"/>
        </w:rPr>
        <w:t>i</w:t>
      </w:r>
      <w:proofErr w:type="spellEnd"/>
      <w:r w:rsidRPr="005E1EFE">
        <w:rPr>
          <w:rFonts w:cs="Arial"/>
          <w:szCs w:val="20"/>
        </w:rPr>
        <w:t>) the research is permanently closed to the enrollment of new subjects; (ii) all subjects have completed all research-related procedures; and (iii) the research remains active only for long-term follow-up</w:t>
      </w:r>
      <w:r w:rsidR="00691965">
        <w:rPr>
          <w:rStyle w:val="FootnoteReference"/>
          <w:rFonts w:cs="Arial"/>
          <w:szCs w:val="20"/>
        </w:rPr>
        <w:footnoteReference w:id="7"/>
      </w:r>
      <w:r w:rsidRPr="005E1EFE">
        <w:rPr>
          <w:rFonts w:cs="Arial"/>
          <w:szCs w:val="20"/>
        </w:rPr>
        <w:t xml:space="preserve"> of subjects; or</w:t>
      </w:r>
    </w:p>
    <w:p w14:paraId="27B0E6F6" w14:textId="1E27B525" w:rsidR="007767FF" w:rsidRPr="005E1EFE" w:rsidRDefault="007767FF" w:rsidP="00ED7BD1">
      <w:pPr>
        <w:tabs>
          <w:tab w:val="left" w:pos="-720"/>
          <w:tab w:val="left" w:pos="720"/>
        </w:tabs>
        <w:suppressAutoHyphens/>
        <w:spacing w:before="120" w:after="120"/>
        <w:ind w:left="720" w:hanging="360"/>
        <w:rPr>
          <w:rFonts w:cs="Arial"/>
          <w:szCs w:val="20"/>
        </w:rPr>
      </w:pPr>
      <w:r w:rsidRPr="005E1EFE">
        <w:rPr>
          <w:rFonts w:cs="Arial"/>
          <w:szCs w:val="20"/>
        </w:rPr>
        <w:t>(b)</w:t>
      </w:r>
      <w:r w:rsidRPr="005E1EFE">
        <w:rPr>
          <w:rFonts w:cs="Arial"/>
          <w:szCs w:val="20"/>
        </w:rPr>
        <w:tab/>
        <w:t xml:space="preserve">where no subjects have </w:t>
      </w:r>
      <w:r w:rsidR="00943209">
        <w:rPr>
          <w:rFonts w:cs="Arial"/>
          <w:szCs w:val="20"/>
        </w:rPr>
        <w:t xml:space="preserve">ever </w:t>
      </w:r>
      <w:r w:rsidRPr="005E1EFE">
        <w:rPr>
          <w:rFonts w:cs="Arial"/>
          <w:szCs w:val="20"/>
        </w:rPr>
        <w:t>been enrolled</w:t>
      </w:r>
      <w:r w:rsidR="00943209">
        <w:rPr>
          <w:rFonts w:cs="Arial"/>
          <w:szCs w:val="20"/>
        </w:rPr>
        <w:t xml:space="preserve"> at a particular site</w:t>
      </w:r>
      <w:r w:rsidRPr="005E1EFE">
        <w:rPr>
          <w:rFonts w:cs="Arial"/>
          <w:szCs w:val="20"/>
        </w:rPr>
        <w:t xml:space="preserve"> and</w:t>
      </w:r>
      <w:r w:rsidR="00943209">
        <w:rPr>
          <w:rFonts w:cs="Arial"/>
          <w:szCs w:val="20"/>
        </w:rPr>
        <w:t xml:space="preserve"> neither the investigator nor the IRB for the </w:t>
      </w:r>
      <w:proofErr w:type="gramStart"/>
      <w:r w:rsidR="00943209">
        <w:rPr>
          <w:rFonts w:cs="Arial"/>
          <w:szCs w:val="20"/>
        </w:rPr>
        <w:t>particular site</w:t>
      </w:r>
      <w:proofErr w:type="gramEnd"/>
      <w:r w:rsidR="00943209">
        <w:rPr>
          <w:rFonts w:cs="Arial"/>
          <w:szCs w:val="20"/>
        </w:rPr>
        <w:t xml:space="preserve"> has </w:t>
      </w:r>
      <w:r w:rsidR="00CB02FA">
        <w:rPr>
          <w:rFonts w:cs="Arial"/>
          <w:szCs w:val="20"/>
        </w:rPr>
        <w:t>identified any</w:t>
      </w:r>
      <w:r w:rsidRPr="005E1EFE">
        <w:rPr>
          <w:rFonts w:cs="Arial"/>
          <w:szCs w:val="20"/>
        </w:rPr>
        <w:t xml:space="preserve"> additional risks </w:t>
      </w:r>
      <w:r w:rsidR="00CB02FA">
        <w:rPr>
          <w:rFonts w:cs="Arial"/>
          <w:szCs w:val="20"/>
        </w:rPr>
        <w:t>from any site or other relevant source</w:t>
      </w:r>
      <w:r w:rsidRPr="005E1EFE">
        <w:rPr>
          <w:rFonts w:cs="Arial"/>
          <w:szCs w:val="20"/>
        </w:rPr>
        <w:t>; or</w:t>
      </w:r>
    </w:p>
    <w:p w14:paraId="4899382B" w14:textId="10D00DFB" w:rsidR="007767FF" w:rsidRPr="005E1EFE" w:rsidRDefault="007767FF" w:rsidP="00ED7BD1">
      <w:pPr>
        <w:tabs>
          <w:tab w:val="left" w:pos="-720"/>
          <w:tab w:val="left" w:pos="720"/>
        </w:tabs>
        <w:suppressAutoHyphens/>
        <w:spacing w:before="120" w:after="120"/>
        <w:ind w:left="720" w:hanging="360"/>
        <w:rPr>
          <w:rFonts w:cs="Arial"/>
          <w:szCs w:val="20"/>
        </w:rPr>
      </w:pPr>
      <w:r w:rsidRPr="005E1EFE">
        <w:rPr>
          <w:rFonts w:cs="Arial"/>
          <w:szCs w:val="20"/>
        </w:rPr>
        <w:t>(c)</w:t>
      </w:r>
      <w:r w:rsidRPr="005E1EFE">
        <w:rPr>
          <w:rFonts w:cs="Arial"/>
          <w:szCs w:val="20"/>
        </w:rPr>
        <w:tab/>
        <w:t>where the remaining research activities are limited to data and laboratory analysis.</w:t>
      </w:r>
    </w:p>
    <w:p w14:paraId="6ED95DF6" w14:textId="386C2BD6" w:rsidR="00C87A8A" w:rsidRDefault="007767FF" w:rsidP="00BE1536">
      <w:pPr>
        <w:tabs>
          <w:tab w:val="left" w:pos="-720"/>
          <w:tab w:val="left" w:pos="360"/>
        </w:tabs>
        <w:suppressAutoHyphens/>
        <w:spacing w:before="240" w:after="120"/>
        <w:ind w:left="360" w:hanging="360"/>
        <w:rPr>
          <w:rFonts w:cs="Arial"/>
          <w:szCs w:val="20"/>
        </w:rPr>
      </w:pPr>
      <w:r w:rsidRPr="005E1EFE">
        <w:rPr>
          <w:rFonts w:cs="Arial"/>
          <w:b/>
          <w:szCs w:val="20"/>
        </w:rPr>
        <w:t>9)</w:t>
      </w:r>
      <w:r w:rsidRPr="005E1EFE">
        <w:rPr>
          <w:rFonts w:cs="Arial"/>
          <w:szCs w:val="20"/>
        </w:rPr>
        <w:tab/>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14:paraId="3657454D" w14:textId="2F87B38B" w:rsidR="00ED4EDE" w:rsidRPr="00ED4EDE" w:rsidRDefault="00ED4EDE" w:rsidP="00F478EC">
      <w:pPr>
        <w:tabs>
          <w:tab w:val="left" w:pos="-720"/>
        </w:tabs>
        <w:suppressAutoHyphens/>
        <w:spacing w:before="240" w:after="120"/>
        <w:rPr>
          <w:rFonts w:cs="Arial"/>
          <w:b/>
          <w:bCs/>
          <w:szCs w:val="20"/>
        </w:rPr>
      </w:pPr>
      <w:r w:rsidRPr="00ED4EDE">
        <w:rPr>
          <w:rFonts w:cs="Arial"/>
          <w:b/>
          <w:bCs/>
          <w:szCs w:val="20"/>
        </w:rPr>
        <w:t>Modifications to Minimal Risk Research:</w:t>
      </w:r>
    </w:p>
    <w:p w14:paraId="4D0A7D6E" w14:textId="77777777" w:rsidR="00ED4EDE" w:rsidRPr="00ED4EDE" w:rsidRDefault="00ED4EDE" w:rsidP="00F478EC">
      <w:pPr>
        <w:tabs>
          <w:tab w:val="left" w:pos="-720"/>
        </w:tabs>
        <w:suppressAutoHyphens/>
        <w:spacing w:after="120"/>
        <w:rPr>
          <w:rFonts w:cs="Arial"/>
          <w:szCs w:val="20"/>
        </w:rPr>
      </w:pPr>
      <w:r w:rsidRPr="00ED4EDE">
        <w:rPr>
          <w:rFonts w:cs="Arial"/>
          <w:szCs w:val="20"/>
        </w:rPr>
        <w:t>When minimal risk research is modified, the Expedited reviewer must confirm that:</w:t>
      </w:r>
    </w:p>
    <w:p w14:paraId="267AB25D" w14:textId="74515E48" w:rsidR="00ED4EDE" w:rsidRPr="00ED4EDE" w:rsidRDefault="00ED4EDE" w:rsidP="00F478EC">
      <w:pPr>
        <w:pStyle w:val="ListParagraph"/>
        <w:numPr>
          <w:ilvl w:val="0"/>
          <w:numId w:val="34"/>
        </w:numPr>
        <w:tabs>
          <w:tab w:val="left" w:pos="-720"/>
        </w:tabs>
        <w:suppressAutoHyphens/>
        <w:spacing w:after="60"/>
        <w:contextualSpacing w:val="0"/>
        <w:rPr>
          <w:rFonts w:cs="Arial"/>
          <w:szCs w:val="20"/>
        </w:rPr>
      </w:pPr>
      <w:r w:rsidRPr="00ED4EDE">
        <w:rPr>
          <w:rFonts w:cs="Arial"/>
          <w:szCs w:val="20"/>
        </w:rPr>
        <w:t>The research activities (or remaining research activities) present no more than minimal risk to human subjects (</w:t>
      </w:r>
      <w:r>
        <w:rPr>
          <w:rFonts w:cs="Arial"/>
          <w:szCs w:val="20"/>
        </w:rPr>
        <w:t>N/A</w:t>
      </w:r>
      <w:r w:rsidRPr="00ED4EDE">
        <w:rPr>
          <w:rFonts w:cs="Arial"/>
          <w:szCs w:val="20"/>
        </w:rPr>
        <w:t xml:space="preserve"> if the research falls into Category 8.b. above).</w:t>
      </w:r>
    </w:p>
    <w:p w14:paraId="5FF56AFA" w14:textId="2CE47EA2" w:rsidR="00BE1536" w:rsidRPr="00ED4EDE" w:rsidRDefault="00ED4EDE" w:rsidP="00F478EC">
      <w:pPr>
        <w:pStyle w:val="ListParagraph"/>
        <w:numPr>
          <w:ilvl w:val="0"/>
          <w:numId w:val="34"/>
        </w:numPr>
        <w:tabs>
          <w:tab w:val="left" w:pos="-720"/>
        </w:tabs>
        <w:suppressAutoHyphens/>
        <w:rPr>
          <w:rFonts w:cs="Arial"/>
          <w:szCs w:val="20"/>
        </w:rPr>
      </w:pPr>
      <w:r w:rsidRPr="00ED4EDE">
        <w:rPr>
          <w:rFonts w:cs="Arial"/>
          <w:szCs w:val="20"/>
        </w:rPr>
        <w:t>The research (or remaining research) falls into one of the Expedited Categories described above.</w:t>
      </w:r>
    </w:p>
    <w:sectPr w:rsidR="00BE1536" w:rsidRPr="00ED4EDE" w:rsidSect="00B409A1">
      <w:headerReference w:type="default" r:id="rId14"/>
      <w:footerReference w:type="default" r:id="rId15"/>
      <w:footerReference w:type="first" r:id="rId16"/>
      <w:endnotePr>
        <w:numFmt w:val="decimal"/>
      </w:endnotePr>
      <w:pgSz w:w="12240" w:h="15840" w:code="1"/>
      <w:pgMar w:top="1152" w:right="1080" w:bottom="1008" w:left="1080" w:header="8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CD13" w14:textId="77777777" w:rsidR="00BC0333" w:rsidRDefault="00BC0333">
      <w:r>
        <w:separator/>
      </w:r>
    </w:p>
  </w:endnote>
  <w:endnote w:type="continuationSeparator" w:id="0">
    <w:p w14:paraId="5088C6B9" w14:textId="77777777" w:rsidR="00BC0333" w:rsidRDefault="00BC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B951" w14:textId="0837E2ED" w:rsidR="00450CF8" w:rsidRPr="00542177" w:rsidRDefault="00542177" w:rsidP="00542177">
    <w:pPr>
      <w:pStyle w:val="Footer"/>
      <w:tabs>
        <w:tab w:val="clear" w:pos="10440"/>
        <w:tab w:val="right" w:pos="10080"/>
      </w:tabs>
      <w:ind w:left="0"/>
      <w:rPr>
        <w:rFonts w:cs="Arial"/>
      </w:rPr>
    </w:pPr>
    <w:r w:rsidRPr="001A7732">
      <w:rPr>
        <w:rFonts w:cs="Arial"/>
        <w:szCs w:val="18"/>
      </w:rPr>
      <w:t>HRP-</w:t>
    </w:r>
    <w:r w:rsidR="00237AF8">
      <w:rPr>
        <w:rFonts w:cs="Arial"/>
        <w:szCs w:val="18"/>
      </w:rPr>
      <w:t>276</w:t>
    </w:r>
    <w:r w:rsidRPr="004D1696">
      <w:rPr>
        <w:rFonts w:cs="Arial"/>
        <w:szCs w:val="18"/>
      </w:rPr>
      <w:t xml:space="preserve"> / Version 1.00 / Effective </w:t>
    </w:r>
    <w:r w:rsidR="00237AF8">
      <w:rPr>
        <w:rFonts w:cs="Arial"/>
        <w:szCs w:val="18"/>
      </w:rPr>
      <w:t>02-27</w:t>
    </w:r>
    <w:r w:rsidRPr="004D1696">
      <w:rPr>
        <w:rFonts w:cs="Arial"/>
        <w:szCs w:val="18"/>
      </w:rPr>
      <w:t xml:space="preserve">-2023 / Page </w:t>
    </w:r>
    <w:r w:rsidRPr="004D1696">
      <w:rPr>
        <w:rStyle w:val="PageNumber"/>
        <w:rFonts w:cs="Arial"/>
        <w:szCs w:val="18"/>
      </w:rPr>
      <w:fldChar w:fldCharType="begin"/>
    </w:r>
    <w:r w:rsidRPr="004D1696">
      <w:rPr>
        <w:rStyle w:val="PageNumber"/>
        <w:rFonts w:cs="Arial"/>
        <w:szCs w:val="18"/>
      </w:rPr>
      <w:instrText xml:space="preserve"> PAGE </w:instrText>
    </w:r>
    <w:r w:rsidRPr="004D1696">
      <w:rPr>
        <w:rStyle w:val="PageNumber"/>
        <w:rFonts w:cs="Arial"/>
        <w:szCs w:val="18"/>
      </w:rPr>
      <w:fldChar w:fldCharType="separate"/>
    </w:r>
    <w:r>
      <w:rPr>
        <w:rStyle w:val="PageNumber"/>
        <w:rFonts w:cs="Arial"/>
        <w:szCs w:val="18"/>
      </w:rPr>
      <w:t>4</w:t>
    </w:r>
    <w:r w:rsidRPr="004D1696">
      <w:rPr>
        <w:rStyle w:val="PageNumber"/>
        <w:rFonts w:cs="Arial"/>
        <w:szCs w:val="18"/>
      </w:rPr>
      <w:fldChar w:fldCharType="end"/>
    </w:r>
    <w:r w:rsidRPr="004D1696">
      <w:rPr>
        <w:rStyle w:val="PageNumber"/>
        <w:rFonts w:cs="Arial"/>
        <w:szCs w:val="18"/>
      </w:rPr>
      <w:t xml:space="preserve"> of </w:t>
    </w:r>
    <w:r w:rsidRPr="004D1696">
      <w:rPr>
        <w:rStyle w:val="PageNumber"/>
        <w:rFonts w:cs="Arial"/>
        <w:szCs w:val="18"/>
      </w:rPr>
      <w:fldChar w:fldCharType="begin"/>
    </w:r>
    <w:r w:rsidRPr="004D1696">
      <w:rPr>
        <w:rStyle w:val="PageNumber"/>
        <w:rFonts w:cs="Arial"/>
        <w:szCs w:val="18"/>
      </w:rPr>
      <w:instrText xml:space="preserve"> NUMPAGES </w:instrText>
    </w:r>
    <w:r w:rsidRPr="004D1696">
      <w:rPr>
        <w:rStyle w:val="PageNumber"/>
        <w:rFonts w:cs="Arial"/>
        <w:szCs w:val="18"/>
      </w:rPr>
      <w:fldChar w:fldCharType="separate"/>
    </w:r>
    <w:r>
      <w:rPr>
        <w:rStyle w:val="PageNumber"/>
        <w:rFonts w:cs="Arial"/>
        <w:szCs w:val="18"/>
      </w:rPr>
      <w:t>4</w:t>
    </w:r>
    <w:r w:rsidRPr="004D1696">
      <w:rPr>
        <w:rStyle w:val="PageNumbe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35A2" w14:textId="77777777" w:rsidR="00450CF8" w:rsidRPr="00E87941" w:rsidRDefault="00450CF8" w:rsidP="00C3623D">
    <w:pPr>
      <w:pStyle w:val="Footer"/>
      <w:spacing w:before="240"/>
      <w:rPr>
        <w:rFonts w:ascii="Tahoma" w:hAnsi="Tahoma" w:cs="Tahoma"/>
      </w:rPr>
    </w:pPr>
    <w:r>
      <w:rPr>
        <w:rFonts w:ascii="Tahoma" w:hAnsi="Tahoma" w:cs="Tahoma"/>
      </w:rPr>
      <w:fldChar w:fldCharType="begin"/>
    </w:r>
    <w:r>
      <w:rPr>
        <w:rFonts w:ascii="Tahoma" w:hAnsi="Tahoma" w:cs="Tahoma"/>
      </w:rPr>
      <w:instrText xml:space="preserve"> FILENAME </w:instrText>
    </w:r>
    <w:r>
      <w:rPr>
        <w:rFonts w:ascii="Tahoma" w:hAnsi="Tahoma" w:cs="Tahoma"/>
      </w:rPr>
      <w:fldChar w:fldCharType="separate"/>
    </w:r>
    <w:r w:rsidR="00402C82">
      <w:rPr>
        <w:rFonts w:ascii="Tahoma" w:hAnsi="Tahoma" w:cs="Tahoma"/>
        <w:noProof/>
      </w:rPr>
      <w:t>053IRBform_MinRiskChklist.doc</w:t>
    </w:r>
    <w:r>
      <w:rPr>
        <w:rFonts w:ascii="Tahoma" w:hAnsi="Tahoma" w:cs="Tahoma"/>
      </w:rPr>
      <w:fldChar w:fldCharType="end"/>
    </w:r>
    <w:r>
      <w:rPr>
        <w:rFonts w:ascii="Tahoma" w:hAnsi="Tahoma" w:cs="Tahoma"/>
      </w:rPr>
      <w:t xml:space="preserve"> / Page </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noProof/>
      </w:rPr>
      <w:t>1</w:t>
    </w:r>
    <w:r>
      <w:rPr>
        <w:rFonts w:ascii="Tahoma" w:hAnsi="Tahoma" w:cs="Tahoma"/>
      </w:rPr>
      <w:fldChar w:fldCharType="end"/>
    </w:r>
    <w:r>
      <w:rPr>
        <w:rFonts w:ascii="Tahoma" w:hAnsi="Tahoma" w:cs="Tahoma"/>
      </w:rPr>
      <w:t xml:space="preserve"> of </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sidR="00E2655A">
      <w:rPr>
        <w:rFonts w:ascii="Tahoma" w:hAnsi="Tahoma" w:cs="Tahoma"/>
        <w:noProof/>
      </w:rPr>
      <w:t>3</w:t>
    </w:r>
    <w:r>
      <w:rP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407D" w14:textId="77777777" w:rsidR="00BC0333" w:rsidRDefault="00BC0333">
      <w:r>
        <w:separator/>
      </w:r>
    </w:p>
  </w:footnote>
  <w:footnote w:type="continuationSeparator" w:id="0">
    <w:p w14:paraId="4D33CD66" w14:textId="77777777" w:rsidR="00BC0333" w:rsidRDefault="00BC0333">
      <w:r>
        <w:continuationSeparator/>
      </w:r>
    </w:p>
  </w:footnote>
  <w:footnote w:id="1">
    <w:p w14:paraId="74C2A0EF" w14:textId="7CB67EEF" w:rsidR="00B83142" w:rsidRDefault="00B83142" w:rsidP="00BA6441">
      <w:pPr>
        <w:pStyle w:val="FootnoteText"/>
        <w:ind w:left="180" w:hanging="180"/>
      </w:pPr>
      <w:r>
        <w:rPr>
          <w:rStyle w:val="FootnoteReference"/>
        </w:rPr>
        <w:footnoteRef/>
      </w:r>
      <w:r w:rsidR="00BA6441">
        <w:rPr>
          <w:sz w:val="18"/>
          <w:szCs w:val="18"/>
        </w:rPr>
        <w:tab/>
      </w:r>
      <w:r w:rsidRPr="00B83142">
        <w:rPr>
          <w:sz w:val="18"/>
          <w:szCs w:val="18"/>
        </w:rPr>
        <w:t>This document satisfies AAHRPP elements I-9, II.2.F-II.</w:t>
      </w:r>
      <w:proofErr w:type="gramStart"/>
      <w:r w:rsidRPr="00B83142">
        <w:rPr>
          <w:sz w:val="18"/>
          <w:szCs w:val="18"/>
        </w:rPr>
        <w:t>2.F.</w:t>
      </w:r>
      <w:proofErr w:type="gramEnd"/>
      <w:r w:rsidRPr="00B83142">
        <w:rPr>
          <w:sz w:val="18"/>
          <w:szCs w:val="18"/>
        </w:rPr>
        <w:t>3, II.5.A.</w:t>
      </w:r>
    </w:p>
  </w:footnote>
  <w:footnote w:id="2">
    <w:p w14:paraId="768B1635" w14:textId="56568D2C" w:rsidR="00047E5D" w:rsidRDefault="00047E5D" w:rsidP="00BA6441">
      <w:pPr>
        <w:pStyle w:val="FootnoteText"/>
        <w:ind w:left="180" w:hanging="180"/>
      </w:pPr>
      <w:r>
        <w:rPr>
          <w:rStyle w:val="FootnoteReference"/>
        </w:rPr>
        <w:footnoteRef/>
      </w:r>
      <w:r w:rsidR="00BA6441">
        <w:tab/>
      </w:r>
      <w:r w:rsidR="00BA6441" w:rsidRPr="00BA6441">
        <w:rPr>
          <w:sz w:val="18"/>
          <w:szCs w:val="18"/>
        </w:rPr>
        <w:t>An expedited review procedure consists of a review of research involving human subjects by the IRB chairperson or by one or more experienced reviewers designated by the chairperson from among members of the IRB in accordance with the requirements set forth in 45 CFR 46.110.</w:t>
      </w:r>
    </w:p>
  </w:footnote>
  <w:footnote w:id="3">
    <w:p w14:paraId="7164B703" w14:textId="47169EDC" w:rsidR="002D7862" w:rsidRDefault="002D7862" w:rsidP="00607ABC">
      <w:pPr>
        <w:pStyle w:val="FootnoteText"/>
        <w:ind w:left="180" w:hanging="180"/>
      </w:pPr>
      <w:r>
        <w:rPr>
          <w:rStyle w:val="FootnoteReference"/>
        </w:rPr>
        <w:footnoteRef/>
      </w:r>
      <w:r w:rsidR="00607ABC">
        <w:tab/>
      </w:r>
      <w:r w:rsidR="00607ABC" w:rsidRPr="00607ABC">
        <w:rPr>
          <w:sz w:val="18"/>
          <w:szCs w:val="18"/>
        </w:rPr>
        <w:t>Volume pertains to amount collected for research purposes; does not include volume drawn for clinical care purposes. Per Huron correspondence with OHRP dated October 2019.</w:t>
      </w:r>
    </w:p>
  </w:footnote>
  <w:footnote w:id="4">
    <w:p w14:paraId="0F29ADF8" w14:textId="431A6174" w:rsidR="00E8273B" w:rsidRPr="005275B7" w:rsidRDefault="00E8273B" w:rsidP="005275B7">
      <w:pPr>
        <w:pStyle w:val="FootnoteText"/>
        <w:ind w:left="180" w:hanging="180"/>
        <w:rPr>
          <w:sz w:val="18"/>
          <w:szCs w:val="18"/>
        </w:rPr>
      </w:pPr>
      <w:r>
        <w:rPr>
          <w:rStyle w:val="FootnoteReference"/>
        </w:rPr>
        <w:footnoteRef/>
      </w:r>
      <w:r w:rsidR="005275B7">
        <w:tab/>
      </w:r>
      <w:r w:rsidR="005275B7" w:rsidRPr="005275B7">
        <w:rPr>
          <w:sz w:val="18"/>
          <w:szCs w:val="18"/>
        </w:rPr>
        <w:t>Children are defined in the HHS regulations as "persons who have not attained the legal age for consent to treatments or procedures involved in the research, under the applicable law of the jurisdiction in which the research will be conducted."</w:t>
      </w:r>
    </w:p>
  </w:footnote>
  <w:footnote w:id="5">
    <w:p w14:paraId="73288113" w14:textId="5E4D6F7C" w:rsidR="00024E1F" w:rsidRDefault="00024E1F" w:rsidP="00A341A7">
      <w:pPr>
        <w:pStyle w:val="FootnoteText"/>
        <w:ind w:left="180" w:hanging="180"/>
      </w:pPr>
      <w:r>
        <w:rPr>
          <w:rStyle w:val="FootnoteReference"/>
        </w:rPr>
        <w:footnoteRef/>
      </w:r>
      <w:r>
        <w:t xml:space="preserve"> </w:t>
      </w:r>
      <w:r w:rsidR="00A341A7">
        <w:tab/>
      </w:r>
      <w:r w:rsidR="00A341A7" w:rsidRPr="00A341A7">
        <w:rPr>
          <w:sz w:val="18"/>
          <w:szCs w:val="18"/>
        </w:rPr>
        <w:t>Multiple withdrawals of blood from an indwelling venous line are more than one collection. Therefore, a research study involving withdrawal of more than two blood samples from an indwelling venous line in a week is not eligible for review using the expedited procedure.</w:t>
      </w:r>
    </w:p>
  </w:footnote>
  <w:footnote w:id="6">
    <w:p w14:paraId="51AFF079" w14:textId="50BB8B90" w:rsidR="00EE238B" w:rsidRDefault="00EE238B" w:rsidP="003C3262">
      <w:pPr>
        <w:pStyle w:val="FootnoteText"/>
        <w:ind w:left="180" w:hanging="180"/>
      </w:pPr>
      <w:r>
        <w:rPr>
          <w:rStyle w:val="FootnoteReference"/>
        </w:rPr>
        <w:footnoteRef/>
      </w:r>
      <w:r w:rsidR="003C3262">
        <w:tab/>
      </w:r>
      <w:r w:rsidR="003C3262" w:rsidRPr="003C3262">
        <w:rPr>
          <w:sz w:val="18"/>
          <w:szCs w:val="18"/>
        </w:rPr>
        <w:t xml:space="preserve">Classified information is sensitive information to which access is restricted by law or regulation to </w:t>
      </w:r>
      <w:proofErr w:type="gramStart"/>
      <w:r w:rsidR="003C3262" w:rsidRPr="003C3262">
        <w:rPr>
          <w:sz w:val="18"/>
          <w:szCs w:val="18"/>
        </w:rPr>
        <w:t>particular groups</w:t>
      </w:r>
      <w:proofErr w:type="gramEnd"/>
      <w:r w:rsidR="003C3262" w:rsidRPr="003C3262">
        <w:rPr>
          <w:sz w:val="18"/>
          <w:szCs w:val="18"/>
        </w:rPr>
        <w:t xml:space="preserve"> of persons. A formal security clearance is required to handle classified documents or access classified data. In the United States classified research involving human subjects is where the protocol, information required by the IRB for review and oversight, or information provided by the research subjects includes classified information, as defined in Executive Order 13526, “Classified National Security Information,” December 29, 2009.</w:t>
      </w:r>
    </w:p>
  </w:footnote>
  <w:footnote w:id="7">
    <w:p w14:paraId="2DEBB900" w14:textId="1FF5C214" w:rsidR="00691965" w:rsidRDefault="00691965" w:rsidP="007C6F31">
      <w:pPr>
        <w:pStyle w:val="FootnoteText"/>
        <w:ind w:left="180" w:hanging="180"/>
      </w:pPr>
      <w:r>
        <w:rPr>
          <w:rStyle w:val="FootnoteReference"/>
        </w:rPr>
        <w:footnoteRef/>
      </w:r>
      <w:r w:rsidR="007C6F31">
        <w:tab/>
      </w:r>
      <w:r w:rsidR="007C6F31" w:rsidRPr="007C6F31">
        <w:rPr>
          <w:sz w:val="18"/>
          <w:szCs w:val="18"/>
        </w:rPr>
        <w:t>Long- term follow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research interventions that would not have been performed for clinical purposes, even if the research interventions involve no more than minimal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8DAA" w14:textId="77777777" w:rsidR="00450CF8" w:rsidRDefault="00450CF8" w:rsidP="003272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F2923"/>
    <w:multiLevelType w:val="hybridMultilevel"/>
    <w:tmpl w:val="0D70DBCA"/>
    <w:lvl w:ilvl="0" w:tplc="7C88CA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23425"/>
    <w:multiLevelType w:val="hybridMultilevel"/>
    <w:tmpl w:val="7188FEBA"/>
    <w:lvl w:ilvl="0" w:tplc="76ACFE9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1"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BE14CC"/>
    <w:multiLevelType w:val="hybridMultilevel"/>
    <w:tmpl w:val="349ED9E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0" w:hanging="360"/>
      </w:pPr>
      <w:rPr>
        <w:rFonts w:ascii="Wingdings" w:hAnsi="Wingdings" w:hint="default"/>
      </w:rPr>
    </w:lvl>
    <w:lvl w:ilvl="3" w:tplc="FFFFFFFF" w:tentative="1">
      <w:start w:val="1"/>
      <w:numFmt w:val="bullet"/>
      <w:lvlText w:val=""/>
      <w:lvlJc w:val="left"/>
      <w:pPr>
        <w:ind w:left="720" w:hanging="360"/>
      </w:pPr>
      <w:rPr>
        <w:rFonts w:ascii="Symbol" w:hAnsi="Symbol" w:hint="default"/>
      </w:rPr>
    </w:lvl>
    <w:lvl w:ilvl="4" w:tplc="FFFFFFFF" w:tentative="1">
      <w:start w:val="1"/>
      <w:numFmt w:val="bullet"/>
      <w:lvlText w:val="o"/>
      <w:lvlJc w:val="left"/>
      <w:pPr>
        <w:ind w:left="1440" w:hanging="360"/>
      </w:pPr>
      <w:rPr>
        <w:rFonts w:ascii="Courier New" w:hAnsi="Courier New" w:cs="Courier New" w:hint="default"/>
      </w:rPr>
    </w:lvl>
    <w:lvl w:ilvl="5" w:tplc="FFFFFFFF" w:tentative="1">
      <w:start w:val="1"/>
      <w:numFmt w:val="bullet"/>
      <w:lvlText w:val=""/>
      <w:lvlJc w:val="left"/>
      <w:pPr>
        <w:ind w:left="2160" w:hanging="360"/>
      </w:pPr>
      <w:rPr>
        <w:rFonts w:ascii="Wingdings" w:hAnsi="Wingdings" w:hint="default"/>
      </w:rPr>
    </w:lvl>
    <w:lvl w:ilvl="6" w:tplc="FFFFFFFF" w:tentative="1">
      <w:start w:val="1"/>
      <w:numFmt w:val="bullet"/>
      <w:lvlText w:val=""/>
      <w:lvlJc w:val="left"/>
      <w:pPr>
        <w:ind w:left="2880" w:hanging="360"/>
      </w:pPr>
      <w:rPr>
        <w:rFonts w:ascii="Symbol" w:hAnsi="Symbol" w:hint="default"/>
      </w:rPr>
    </w:lvl>
    <w:lvl w:ilvl="7" w:tplc="FFFFFFFF" w:tentative="1">
      <w:start w:val="1"/>
      <w:numFmt w:val="bullet"/>
      <w:lvlText w:val="o"/>
      <w:lvlJc w:val="left"/>
      <w:pPr>
        <w:ind w:left="3600" w:hanging="360"/>
      </w:pPr>
      <w:rPr>
        <w:rFonts w:ascii="Courier New" w:hAnsi="Courier New" w:cs="Courier New" w:hint="default"/>
      </w:rPr>
    </w:lvl>
    <w:lvl w:ilvl="8" w:tplc="FFFFFFFF" w:tentative="1">
      <w:start w:val="1"/>
      <w:numFmt w:val="bullet"/>
      <w:lvlText w:val=""/>
      <w:lvlJc w:val="left"/>
      <w:pPr>
        <w:ind w:left="4320" w:hanging="360"/>
      </w:pPr>
      <w:rPr>
        <w:rFonts w:ascii="Wingdings" w:hAnsi="Wingdings" w:hint="default"/>
      </w:rPr>
    </w:lvl>
  </w:abstractNum>
  <w:abstractNum w:abstractNumId="13"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7AF61D0"/>
    <w:multiLevelType w:val="hybridMultilevel"/>
    <w:tmpl w:val="E83C08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F96FC7"/>
    <w:multiLevelType w:val="hybridMultilevel"/>
    <w:tmpl w:val="AFC0C5D4"/>
    <w:lvl w:ilvl="0" w:tplc="0360FCCC">
      <w:numFmt w:val="bullet"/>
      <w:lvlText w:val=""/>
      <w:lvlJc w:val="left"/>
      <w:pPr>
        <w:ind w:left="1080" w:hanging="54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5C58E5"/>
    <w:multiLevelType w:val="hybridMultilevel"/>
    <w:tmpl w:val="3CBED428"/>
    <w:lvl w:ilvl="0" w:tplc="76ACFE9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220169"/>
    <w:multiLevelType w:val="hybridMultilevel"/>
    <w:tmpl w:val="AB56B0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634F1732"/>
    <w:multiLevelType w:val="hybridMultilevel"/>
    <w:tmpl w:val="0030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15:restartNumberingAfterBreak="0">
    <w:nsid w:val="6BC40137"/>
    <w:multiLevelType w:val="hybridMultilevel"/>
    <w:tmpl w:val="EA74E134"/>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DF549C"/>
    <w:multiLevelType w:val="hybridMultilevel"/>
    <w:tmpl w:val="7EDA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A7002"/>
    <w:multiLevelType w:val="hybridMultilevel"/>
    <w:tmpl w:val="B628BEAA"/>
    <w:lvl w:ilvl="0" w:tplc="76ACFE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6"/>
  </w:num>
  <w:num w:numId="4">
    <w:abstractNumId w:val="15"/>
  </w:num>
  <w:num w:numId="5">
    <w:abstractNumId w:val="22"/>
  </w:num>
  <w:num w:numId="6">
    <w:abstractNumId w:val="6"/>
  </w:num>
  <w:num w:numId="7">
    <w:abstractNumId w:val="1"/>
  </w:num>
  <w:num w:numId="8">
    <w:abstractNumId w:val="18"/>
  </w:num>
  <w:num w:numId="9">
    <w:abstractNumId w:val="29"/>
  </w:num>
  <w:num w:numId="10">
    <w:abstractNumId w:val="8"/>
  </w:num>
  <w:num w:numId="11">
    <w:abstractNumId w:val="2"/>
  </w:num>
  <w:num w:numId="12">
    <w:abstractNumId w:val="33"/>
  </w:num>
  <w:num w:numId="13">
    <w:abstractNumId w:val="27"/>
  </w:num>
  <w:num w:numId="14">
    <w:abstractNumId w:val="32"/>
  </w:num>
  <w:num w:numId="15">
    <w:abstractNumId w:val="9"/>
  </w:num>
  <w:num w:numId="16">
    <w:abstractNumId w:val="11"/>
  </w:num>
  <w:num w:numId="17">
    <w:abstractNumId w:val="23"/>
  </w:num>
  <w:num w:numId="18">
    <w:abstractNumId w:val="17"/>
  </w:num>
  <w:num w:numId="19">
    <w:abstractNumId w:val="5"/>
  </w:num>
  <w:num w:numId="20">
    <w:abstractNumId w:val="0"/>
  </w:num>
  <w:num w:numId="21">
    <w:abstractNumId w:val="13"/>
  </w:num>
  <w:num w:numId="22">
    <w:abstractNumId w:val="21"/>
  </w:num>
  <w:num w:numId="23">
    <w:abstractNumId w:val="24"/>
  </w:num>
  <w:num w:numId="24">
    <w:abstractNumId w:val="14"/>
  </w:num>
  <w:num w:numId="25">
    <w:abstractNumId w:val="28"/>
  </w:num>
  <w:num w:numId="26">
    <w:abstractNumId w:val="20"/>
  </w:num>
  <w:num w:numId="27">
    <w:abstractNumId w:val="16"/>
  </w:num>
  <w:num w:numId="28">
    <w:abstractNumId w:val="3"/>
  </w:num>
  <w:num w:numId="29">
    <w:abstractNumId w:val="30"/>
  </w:num>
  <w:num w:numId="30">
    <w:abstractNumId w:val="31"/>
  </w:num>
  <w:num w:numId="31">
    <w:abstractNumId w:val="19"/>
  </w:num>
  <w:num w:numId="32">
    <w:abstractNumId w:val="7"/>
  </w:num>
  <w:num w:numId="33">
    <w:abstractNumId w:val="1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132E"/>
    <w:rsid w:val="00004913"/>
    <w:rsid w:val="00007248"/>
    <w:rsid w:val="000127BC"/>
    <w:rsid w:val="0001505A"/>
    <w:rsid w:val="00020819"/>
    <w:rsid w:val="0002149C"/>
    <w:rsid w:val="00023EE8"/>
    <w:rsid w:val="00024E1F"/>
    <w:rsid w:val="00025E52"/>
    <w:rsid w:val="00026570"/>
    <w:rsid w:val="00032230"/>
    <w:rsid w:val="00045850"/>
    <w:rsid w:val="00047E5D"/>
    <w:rsid w:val="00055ACF"/>
    <w:rsid w:val="00063A2E"/>
    <w:rsid w:val="00065897"/>
    <w:rsid w:val="00067DBE"/>
    <w:rsid w:val="000712DD"/>
    <w:rsid w:val="000743D4"/>
    <w:rsid w:val="00093FF0"/>
    <w:rsid w:val="00095C3F"/>
    <w:rsid w:val="00097204"/>
    <w:rsid w:val="000A0F4A"/>
    <w:rsid w:val="000A27B8"/>
    <w:rsid w:val="000A29AA"/>
    <w:rsid w:val="000B2802"/>
    <w:rsid w:val="000B2F34"/>
    <w:rsid w:val="000B5ED5"/>
    <w:rsid w:val="000B664B"/>
    <w:rsid w:val="000B6699"/>
    <w:rsid w:val="000C395D"/>
    <w:rsid w:val="000C3F5C"/>
    <w:rsid w:val="000C5597"/>
    <w:rsid w:val="000E018B"/>
    <w:rsid w:val="000E1733"/>
    <w:rsid w:val="000E59C3"/>
    <w:rsid w:val="000F5589"/>
    <w:rsid w:val="001023F6"/>
    <w:rsid w:val="00107916"/>
    <w:rsid w:val="00115565"/>
    <w:rsid w:val="00117C2D"/>
    <w:rsid w:val="00121426"/>
    <w:rsid w:val="001220FC"/>
    <w:rsid w:val="0013188C"/>
    <w:rsid w:val="00150768"/>
    <w:rsid w:val="001514B1"/>
    <w:rsid w:val="00181407"/>
    <w:rsid w:val="00185524"/>
    <w:rsid w:val="001A17DE"/>
    <w:rsid w:val="001A60DA"/>
    <w:rsid w:val="001B351A"/>
    <w:rsid w:val="001C2E4C"/>
    <w:rsid w:val="001C4638"/>
    <w:rsid w:val="001D2FFD"/>
    <w:rsid w:val="001D729C"/>
    <w:rsid w:val="001E16D5"/>
    <w:rsid w:val="001E3070"/>
    <w:rsid w:val="001E4E23"/>
    <w:rsid w:val="001F1116"/>
    <w:rsid w:val="001F4D93"/>
    <w:rsid w:val="00216214"/>
    <w:rsid w:val="002223FD"/>
    <w:rsid w:val="002264B7"/>
    <w:rsid w:val="00227359"/>
    <w:rsid w:val="00237AF8"/>
    <w:rsid w:val="00240387"/>
    <w:rsid w:val="00244454"/>
    <w:rsid w:val="002662E4"/>
    <w:rsid w:val="00266F7A"/>
    <w:rsid w:val="002744FD"/>
    <w:rsid w:val="00280CA0"/>
    <w:rsid w:val="002860FB"/>
    <w:rsid w:val="00286750"/>
    <w:rsid w:val="002A04B2"/>
    <w:rsid w:val="002C0A15"/>
    <w:rsid w:val="002D7862"/>
    <w:rsid w:val="002E10A1"/>
    <w:rsid w:val="002F5867"/>
    <w:rsid w:val="003036DE"/>
    <w:rsid w:val="00317F80"/>
    <w:rsid w:val="003235DD"/>
    <w:rsid w:val="00327250"/>
    <w:rsid w:val="003341D5"/>
    <w:rsid w:val="0034319A"/>
    <w:rsid w:val="00343CC5"/>
    <w:rsid w:val="003448EF"/>
    <w:rsid w:val="00352E18"/>
    <w:rsid w:val="003538CE"/>
    <w:rsid w:val="0035443F"/>
    <w:rsid w:val="00361FD4"/>
    <w:rsid w:val="00362D52"/>
    <w:rsid w:val="00363987"/>
    <w:rsid w:val="0036619D"/>
    <w:rsid w:val="00382F64"/>
    <w:rsid w:val="00384960"/>
    <w:rsid w:val="003A01D0"/>
    <w:rsid w:val="003A119C"/>
    <w:rsid w:val="003A3A4B"/>
    <w:rsid w:val="003A71C3"/>
    <w:rsid w:val="003B5910"/>
    <w:rsid w:val="003C3262"/>
    <w:rsid w:val="003C55F4"/>
    <w:rsid w:val="003D32A5"/>
    <w:rsid w:val="003D4950"/>
    <w:rsid w:val="003E17CD"/>
    <w:rsid w:val="003E4C2B"/>
    <w:rsid w:val="003E7727"/>
    <w:rsid w:val="00401762"/>
    <w:rsid w:val="00402C82"/>
    <w:rsid w:val="0040402E"/>
    <w:rsid w:val="00406447"/>
    <w:rsid w:val="004161FA"/>
    <w:rsid w:val="00450CF8"/>
    <w:rsid w:val="00473E82"/>
    <w:rsid w:val="00480DB9"/>
    <w:rsid w:val="0049048D"/>
    <w:rsid w:val="00491814"/>
    <w:rsid w:val="004A0C57"/>
    <w:rsid w:val="004A2644"/>
    <w:rsid w:val="004A489E"/>
    <w:rsid w:val="004A4B72"/>
    <w:rsid w:val="004A68EF"/>
    <w:rsid w:val="004B3225"/>
    <w:rsid w:val="004B59C3"/>
    <w:rsid w:val="004D5A0C"/>
    <w:rsid w:val="004E116F"/>
    <w:rsid w:val="004E3257"/>
    <w:rsid w:val="004F6E7B"/>
    <w:rsid w:val="005036CD"/>
    <w:rsid w:val="005062B3"/>
    <w:rsid w:val="005172E2"/>
    <w:rsid w:val="00520986"/>
    <w:rsid w:val="005275B7"/>
    <w:rsid w:val="0053259B"/>
    <w:rsid w:val="00542177"/>
    <w:rsid w:val="005440FD"/>
    <w:rsid w:val="005456C7"/>
    <w:rsid w:val="005566E3"/>
    <w:rsid w:val="005610AE"/>
    <w:rsid w:val="00567300"/>
    <w:rsid w:val="005704CB"/>
    <w:rsid w:val="00571599"/>
    <w:rsid w:val="005738CB"/>
    <w:rsid w:val="00574FE7"/>
    <w:rsid w:val="005751F4"/>
    <w:rsid w:val="00577DE1"/>
    <w:rsid w:val="005953AE"/>
    <w:rsid w:val="005A0805"/>
    <w:rsid w:val="005B1467"/>
    <w:rsid w:val="005B4989"/>
    <w:rsid w:val="005C55BA"/>
    <w:rsid w:val="005D1981"/>
    <w:rsid w:val="005E1EFE"/>
    <w:rsid w:val="005E2A63"/>
    <w:rsid w:val="005E5AFB"/>
    <w:rsid w:val="005E6A7F"/>
    <w:rsid w:val="005E755E"/>
    <w:rsid w:val="005F0250"/>
    <w:rsid w:val="005F06F1"/>
    <w:rsid w:val="005F2B69"/>
    <w:rsid w:val="005F780F"/>
    <w:rsid w:val="00601D41"/>
    <w:rsid w:val="00604182"/>
    <w:rsid w:val="006063A1"/>
    <w:rsid w:val="00607ABC"/>
    <w:rsid w:val="00610A7C"/>
    <w:rsid w:val="00616F54"/>
    <w:rsid w:val="006204E7"/>
    <w:rsid w:val="0062662B"/>
    <w:rsid w:val="00632EA3"/>
    <w:rsid w:val="00634EAA"/>
    <w:rsid w:val="00640B55"/>
    <w:rsid w:val="00643409"/>
    <w:rsid w:val="00656F64"/>
    <w:rsid w:val="00660770"/>
    <w:rsid w:val="00666A95"/>
    <w:rsid w:val="00676C5E"/>
    <w:rsid w:val="00680D2D"/>
    <w:rsid w:val="00687D34"/>
    <w:rsid w:val="00691590"/>
    <w:rsid w:val="00691965"/>
    <w:rsid w:val="006A1F91"/>
    <w:rsid w:val="006B1D1A"/>
    <w:rsid w:val="006B3130"/>
    <w:rsid w:val="006B45B9"/>
    <w:rsid w:val="006B60F5"/>
    <w:rsid w:val="006D09B9"/>
    <w:rsid w:val="006D1266"/>
    <w:rsid w:val="006D221B"/>
    <w:rsid w:val="006D7D07"/>
    <w:rsid w:val="006E2940"/>
    <w:rsid w:val="006F4CFD"/>
    <w:rsid w:val="006F573D"/>
    <w:rsid w:val="00705D00"/>
    <w:rsid w:val="007062F0"/>
    <w:rsid w:val="00706709"/>
    <w:rsid w:val="0072127E"/>
    <w:rsid w:val="00734D8E"/>
    <w:rsid w:val="00735898"/>
    <w:rsid w:val="00737CF4"/>
    <w:rsid w:val="00757650"/>
    <w:rsid w:val="0076315D"/>
    <w:rsid w:val="0077178C"/>
    <w:rsid w:val="00772350"/>
    <w:rsid w:val="00776448"/>
    <w:rsid w:val="007767FF"/>
    <w:rsid w:val="00782F43"/>
    <w:rsid w:val="007927AD"/>
    <w:rsid w:val="00796082"/>
    <w:rsid w:val="00796FA8"/>
    <w:rsid w:val="007A1FF1"/>
    <w:rsid w:val="007B1813"/>
    <w:rsid w:val="007B34A8"/>
    <w:rsid w:val="007B6C25"/>
    <w:rsid w:val="007C48C7"/>
    <w:rsid w:val="007C65F9"/>
    <w:rsid w:val="007C6F31"/>
    <w:rsid w:val="007D3CF3"/>
    <w:rsid w:val="007D75B8"/>
    <w:rsid w:val="007F3DAC"/>
    <w:rsid w:val="008038A8"/>
    <w:rsid w:val="008062F9"/>
    <w:rsid w:val="00810F2A"/>
    <w:rsid w:val="00813EF1"/>
    <w:rsid w:val="00817D97"/>
    <w:rsid w:val="0083079C"/>
    <w:rsid w:val="00830907"/>
    <w:rsid w:val="008309D0"/>
    <w:rsid w:val="00830C85"/>
    <w:rsid w:val="00834C77"/>
    <w:rsid w:val="00846293"/>
    <w:rsid w:val="0086033C"/>
    <w:rsid w:val="00860EA7"/>
    <w:rsid w:val="008646FB"/>
    <w:rsid w:val="00884C7D"/>
    <w:rsid w:val="008902DF"/>
    <w:rsid w:val="008A0D60"/>
    <w:rsid w:val="008A6445"/>
    <w:rsid w:val="008A6C94"/>
    <w:rsid w:val="008B1747"/>
    <w:rsid w:val="008B64A7"/>
    <w:rsid w:val="008C6296"/>
    <w:rsid w:val="008D10D6"/>
    <w:rsid w:val="008D3B8F"/>
    <w:rsid w:val="008D4C49"/>
    <w:rsid w:val="008E6DA9"/>
    <w:rsid w:val="008F426C"/>
    <w:rsid w:val="008F5BA0"/>
    <w:rsid w:val="00900FB1"/>
    <w:rsid w:val="00907AD0"/>
    <w:rsid w:val="00915BA6"/>
    <w:rsid w:val="0092014A"/>
    <w:rsid w:val="00920CC6"/>
    <w:rsid w:val="009230EF"/>
    <w:rsid w:val="00923D28"/>
    <w:rsid w:val="00924A1F"/>
    <w:rsid w:val="0093079B"/>
    <w:rsid w:val="00932904"/>
    <w:rsid w:val="00934ACA"/>
    <w:rsid w:val="00943209"/>
    <w:rsid w:val="00973FD3"/>
    <w:rsid w:val="00977368"/>
    <w:rsid w:val="009900F7"/>
    <w:rsid w:val="009905E4"/>
    <w:rsid w:val="00992D6D"/>
    <w:rsid w:val="00995BD2"/>
    <w:rsid w:val="00997812"/>
    <w:rsid w:val="009A0C37"/>
    <w:rsid w:val="009A5198"/>
    <w:rsid w:val="009B1322"/>
    <w:rsid w:val="009B6445"/>
    <w:rsid w:val="009B7CDE"/>
    <w:rsid w:val="009C6701"/>
    <w:rsid w:val="009C7E4A"/>
    <w:rsid w:val="009E50E0"/>
    <w:rsid w:val="009F0EB8"/>
    <w:rsid w:val="00A036C2"/>
    <w:rsid w:val="00A0532B"/>
    <w:rsid w:val="00A10609"/>
    <w:rsid w:val="00A262A3"/>
    <w:rsid w:val="00A26A6A"/>
    <w:rsid w:val="00A324CA"/>
    <w:rsid w:val="00A341A7"/>
    <w:rsid w:val="00A377FD"/>
    <w:rsid w:val="00A46CFD"/>
    <w:rsid w:val="00A629CD"/>
    <w:rsid w:val="00A6348C"/>
    <w:rsid w:val="00A70D4E"/>
    <w:rsid w:val="00A75C9C"/>
    <w:rsid w:val="00A85D2C"/>
    <w:rsid w:val="00A942EE"/>
    <w:rsid w:val="00AA0D93"/>
    <w:rsid w:val="00AA37CA"/>
    <w:rsid w:val="00AA4B59"/>
    <w:rsid w:val="00AB3EA0"/>
    <w:rsid w:val="00AB6ADE"/>
    <w:rsid w:val="00AC4095"/>
    <w:rsid w:val="00AD31FA"/>
    <w:rsid w:val="00AD5E50"/>
    <w:rsid w:val="00AE33E5"/>
    <w:rsid w:val="00AE699D"/>
    <w:rsid w:val="00AF1B20"/>
    <w:rsid w:val="00AF3966"/>
    <w:rsid w:val="00B04500"/>
    <w:rsid w:val="00B10262"/>
    <w:rsid w:val="00B12938"/>
    <w:rsid w:val="00B17DEB"/>
    <w:rsid w:val="00B24D14"/>
    <w:rsid w:val="00B27705"/>
    <w:rsid w:val="00B301A7"/>
    <w:rsid w:val="00B3099B"/>
    <w:rsid w:val="00B31925"/>
    <w:rsid w:val="00B409A1"/>
    <w:rsid w:val="00B412B9"/>
    <w:rsid w:val="00B52397"/>
    <w:rsid w:val="00B53719"/>
    <w:rsid w:val="00B639A0"/>
    <w:rsid w:val="00B83142"/>
    <w:rsid w:val="00B85987"/>
    <w:rsid w:val="00BA2F77"/>
    <w:rsid w:val="00BA5176"/>
    <w:rsid w:val="00BA6441"/>
    <w:rsid w:val="00BB678F"/>
    <w:rsid w:val="00BB6FF7"/>
    <w:rsid w:val="00BC0333"/>
    <w:rsid w:val="00BE1536"/>
    <w:rsid w:val="00BF013E"/>
    <w:rsid w:val="00BF36C8"/>
    <w:rsid w:val="00BF4D8F"/>
    <w:rsid w:val="00BF5AC1"/>
    <w:rsid w:val="00C04CD3"/>
    <w:rsid w:val="00C055CD"/>
    <w:rsid w:val="00C06806"/>
    <w:rsid w:val="00C238D5"/>
    <w:rsid w:val="00C3623D"/>
    <w:rsid w:val="00C460D5"/>
    <w:rsid w:val="00C4786C"/>
    <w:rsid w:val="00C53CA6"/>
    <w:rsid w:val="00C54074"/>
    <w:rsid w:val="00C56B25"/>
    <w:rsid w:val="00C668F7"/>
    <w:rsid w:val="00C74F8C"/>
    <w:rsid w:val="00C761CC"/>
    <w:rsid w:val="00C76A9C"/>
    <w:rsid w:val="00C84A11"/>
    <w:rsid w:val="00C87A8A"/>
    <w:rsid w:val="00C93583"/>
    <w:rsid w:val="00C94E2F"/>
    <w:rsid w:val="00C95490"/>
    <w:rsid w:val="00C97349"/>
    <w:rsid w:val="00CA56E9"/>
    <w:rsid w:val="00CB026C"/>
    <w:rsid w:val="00CB02FA"/>
    <w:rsid w:val="00CC2888"/>
    <w:rsid w:val="00CC34EA"/>
    <w:rsid w:val="00CE2506"/>
    <w:rsid w:val="00CE4369"/>
    <w:rsid w:val="00CF41F4"/>
    <w:rsid w:val="00D006A8"/>
    <w:rsid w:val="00D06FAD"/>
    <w:rsid w:val="00D30DC9"/>
    <w:rsid w:val="00D310B1"/>
    <w:rsid w:val="00D31A4E"/>
    <w:rsid w:val="00D35863"/>
    <w:rsid w:val="00D44C3F"/>
    <w:rsid w:val="00D51A7A"/>
    <w:rsid w:val="00D55141"/>
    <w:rsid w:val="00D61A18"/>
    <w:rsid w:val="00D62D0F"/>
    <w:rsid w:val="00D67AB7"/>
    <w:rsid w:val="00D71E90"/>
    <w:rsid w:val="00D920E9"/>
    <w:rsid w:val="00DA4F39"/>
    <w:rsid w:val="00DB51EF"/>
    <w:rsid w:val="00DB5F05"/>
    <w:rsid w:val="00DD42CA"/>
    <w:rsid w:val="00DD78D3"/>
    <w:rsid w:val="00DE6691"/>
    <w:rsid w:val="00DE6E51"/>
    <w:rsid w:val="00DF5389"/>
    <w:rsid w:val="00E01B46"/>
    <w:rsid w:val="00E04220"/>
    <w:rsid w:val="00E0795D"/>
    <w:rsid w:val="00E17EDE"/>
    <w:rsid w:val="00E22563"/>
    <w:rsid w:val="00E25551"/>
    <w:rsid w:val="00E2655A"/>
    <w:rsid w:val="00E60924"/>
    <w:rsid w:val="00E60E70"/>
    <w:rsid w:val="00E61222"/>
    <w:rsid w:val="00E661C1"/>
    <w:rsid w:val="00E665D6"/>
    <w:rsid w:val="00E67191"/>
    <w:rsid w:val="00E7051E"/>
    <w:rsid w:val="00E76E9F"/>
    <w:rsid w:val="00E77049"/>
    <w:rsid w:val="00E77B06"/>
    <w:rsid w:val="00E81972"/>
    <w:rsid w:val="00E8273B"/>
    <w:rsid w:val="00E84B26"/>
    <w:rsid w:val="00E859DA"/>
    <w:rsid w:val="00E86D3A"/>
    <w:rsid w:val="00E87941"/>
    <w:rsid w:val="00E96B6F"/>
    <w:rsid w:val="00EA2D34"/>
    <w:rsid w:val="00EB0141"/>
    <w:rsid w:val="00EB116A"/>
    <w:rsid w:val="00ED145E"/>
    <w:rsid w:val="00ED2A65"/>
    <w:rsid w:val="00ED2EF0"/>
    <w:rsid w:val="00ED4EDE"/>
    <w:rsid w:val="00ED73AD"/>
    <w:rsid w:val="00ED7BD1"/>
    <w:rsid w:val="00EE238B"/>
    <w:rsid w:val="00EF15EC"/>
    <w:rsid w:val="00EF355B"/>
    <w:rsid w:val="00F058CB"/>
    <w:rsid w:val="00F11BFB"/>
    <w:rsid w:val="00F14593"/>
    <w:rsid w:val="00F20506"/>
    <w:rsid w:val="00F24898"/>
    <w:rsid w:val="00F34090"/>
    <w:rsid w:val="00F35279"/>
    <w:rsid w:val="00F40326"/>
    <w:rsid w:val="00F4591E"/>
    <w:rsid w:val="00F478EC"/>
    <w:rsid w:val="00F55192"/>
    <w:rsid w:val="00F573E3"/>
    <w:rsid w:val="00F57789"/>
    <w:rsid w:val="00F72AE7"/>
    <w:rsid w:val="00F744B0"/>
    <w:rsid w:val="00F80640"/>
    <w:rsid w:val="00F84882"/>
    <w:rsid w:val="00F87882"/>
    <w:rsid w:val="00F909EE"/>
    <w:rsid w:val="00F95D35"/>
    <w:rsid w:val="00FA4636"/>
    <w:rsid w:val="00FB05CB"/>
    <w:rsid w:val="00FB4D63"/>
    <w:rsid w:val="00FE0F17"/>
    <w:rsid w:val="00FE343E"/>
    <w:rsid w:val="00FE44B8"/>
    <w:rsid w:val="00FE70C5"/>
    <w:rsid w:val="00FE7E64"/>
    <w:rsid w:val="00FF2FC0"/>
    <w:rsid w:val="00FF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67AE"/>
  <w15:chartTrackingRefBased/>
  <w15:docId w15:val="{0F11E025-787D-425A-AA72-102F3837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45E"/>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paragraph" w:styleId="BodyText3">
    <w:name w:val="Body Text 3"/>
    <w:basedOn w:val="Normal"/>
    <w:link w:val="BodyText3Char"/>
    <w:rsid w:val="003538CE"/>
    <w:pPr>
      <w:spacing w:after="120"/>
    </w:pPr>
    <w:rPr>
      <w:sz w:val="16"/>
      <w:szCs w:val="16"/>
      <w:lang w:val="x-none" w:eastAsia="x-none"/>
    </w:rPr>
  </w:style>
  <w:style w:type="character" w:customStyle="1" w:styleId="BodyText3Char">
    <w:name w:val="Body Text 3 Char"/>
    <w:link w:val="BodyText3"/>
    <w:rsid w:val="003538CE"/>
    <w:rPr>
      <w:sz w:val="16"/>
      <w:szCs w:val="16"/>
    </w:rPr>
  </w:style>
  <w:style w:type="paragraph" w:customStyle="1" w:styleId="StudyTitle">
    <w:name w:val="StudyTitle"/>
    <w:basedOn w:val="Normal"/>
    <w:link w:val="StudyTitleChar"/>
    <w:qFormat/>
    <w:rsid w:val="0062662B"/>
    <w:pPr>
      <w:tabs>
        <w:tab w:val="left" w:pos="3600"/>
        <w:tab w:val="left" w:pos="4860"/>
        <w:tab w:val="left" w:pos="5940"/>
        <w:tab w:val="left" w:pos="7200"/>
        <w:tab w:val="right" w:leader="underscore" w:pos="11160"/>
      </w:tabs>
      <w:spacing w:line="276" w:lineRule="auto"/>
    </w:pPr>
    <w:rPr>
      <w:rFonts w:eastAsia="Calibri"/>
      <w:sz w:val="22"/>
      <w:lang w:val="x-none" w:eastAsia="x-none"/>
    </w:rPr>
  </w:style>
  <w:style w:type="character" w:customStyle="1" w:styleId="StudyTitleChar">
    <w:name w:val="StudyTitle Char"/>
    <w:link w:val="StudyTitle"/>
    <w:rsid w:val="0062662B"/>
    <w:rPr>
      <w:rFonts w:eastAsia="Calibri"/>
      <w:sz w:val="22"/>
      <w:szCs w:val="24"/>
    </w:rPr>
  </w:style>
  <w:style w:type="character" w:styleId="CommentReference">
    <w:name w:val="annotation reference"/>
    <w:rsid w:val="001A17DE"/>
    <w:rPr>
      <w:sz w:val="16"/>
      <w:szCs w:val="16"/>
    </w:rPr>
  </w:style>
  <w:style w:type="paragraph" w:styleId="CommentText">
    <w:name w:val="annotation text"/>
    <w:basedOn w:val="Normal"/>
    <w:link w:val="CommentTextChar"/>
    <w:rsid w:val="001A17DE"/>
    <w:rPr>
      <w:szCs w:val="20"/>
    </w:rPr>
  </w:style>
  <w:style w:type="character" w:customStyle="1" w:styleId="CommentTextChar">
    <w:name w:val="Comment Text Char"/>
    <w:basedOn w:val="DefaultParagraphFont"/>
    <w:link w:val="CommentText"/>
    <w:rsid w:val="001A17DE"/>
  </w:style>
  <w:style w:type="paragraph" w:styleId="CommentSubject">
    <w:name w:val="annotation subject"/>
    <w:basedOn w:val="CommentText"/>
    <w:next w:val="CommentText"/>
    <w:link w:val="CommentSubjectChar"/>
    <w:rsid w:val="001A17DE"/>
    <w:rPr>
      <w:b/>
      <w:bCs/>
    </w:rPr>
  </w:style>
  <w:style w:type="character" w:customStyle="1" w:styleId="CommentSubjectChar">
    <w:name w:val="Comment Subject Char"/>
    <w:link w:val="CommentSubject"/>
    <w:rsid w:val="001A17DE"/>
    <w:rPr>
      <w:b/>
      <w:bCs/>
    </w:rPr>
  </w:style>
  <w:style w:type="paragraph" w:styleId="BodyTextIndent">
    <w:name w:val="Body Text Indent"/>
    <w:basedOn w:val="Normal"/>
    <w:link w:val="BodyTextIndentChar"/>
    <w:rsid w:val="005751F4"/>
    <w:pPr>
      <w:spacing w:after="120"/>
      <w:ind w:left="360"/>
    </w:pPr>
  </w:style>
  <w:style w:type="character" w:customStyle="1" w:styleId="BodyTextIndentChar">
    <w:name w:val="Body Text Indent Char"/>
    <w:link w:val="BodyTextIndent"/>
    <w:rsid w:val="005751F4"/>
    <w:rPr>
      <w:sz w:val="24"/>
      <w:szCs w:val="24"/>
    </w:rPr>
  </w:style>
  <w:style w:type="paragraph" w:styleId="BodyTextIndent2">
    <w:name w:val="Body Text Indent 2"/>
    <w:basedOn w:val="Normal"/>
    <w:link w:val="BodyTextIndent2Char"/>
    <w:rsid w:val="005751F4"/>
    <w:pPr>
      <w:spacing w:after="120" w:line="480" w:lineRule="auto"/>
      <w:ind w:left="360"/>
    </w:pPr>
  </w:style>
  <w:style w:type="character" w:customStyle="1" w:styleId="BodyTextIndent2Char">
    <w:name w:val="Body Text Indent 2 Char"/>
    <w:link w:val="BodyTextIndent2"/>
    <w:rsid w:val="005751F4"/>
    <w:rPr>
      <w:sz w:val="24"/>
      <w:szCs w:val="24"/>
    </w:rPr>
  </w:style>
  <w:style w:type="character" w:styleId="FootnoteReference">
    <w:name w:val="footnote reference"/>
    <w:rsid w:val="00C460D5"/>
    <w:rPr>
      <w:vertAlign w:val="superscript"/>
    </w:rPr>
  </w:style>
  <w:style w:type="paragraph" w:styleId="FootnoteText">
    <w:name w:val="footnote text"/>
    <w:basedOn w:val="Normal"/>
    <w:link w:val="FootnoteTextChar"/>
    <w:rsid w:val="00C84A11"/>
    <w:rPr>
      <w:szCs w:val="20"/>
    </w:rPr>
  </w:style>
  <w:style w:type="character" w:customStyle="1" w:styleId="FootnoteTextChar">
    <w:name w:val="Footnote Text Char"/>
    <w:basedOn w:val="DefaultParagraphFont"/>
    <w:link w:val="FootnoteText"/>
    <w:rsid w:val="00C84A11"/>
  </w:style>
  <w:style w:type="paragraph" w:styleId="EndnoteText">
    <w:name w:val="endnote text"/>
    <w:basedOn w:val="Normal"/>
    <w:link w:val="EndnoteTextChar"/>
    <w:rsid w:val="00C87A8A"/>
    <w:rPr>
      <w:szCs w:val="20"/>
    </w:rPr>
  </w:style>
  <w:style w:type="character" w:customStyle="1" w:styleId="EndnoteTextChar">
    <w:name w:val="Endnote Text Char"/>
    <w:basedOn w:val="DefaultParagraphFont"/>
    <w:link w:val="EndnoteText"/>
    <w:rsid w:val="00C87A8A"/>
  </w:style>
  <w:style w:type="character" w:styleId="EndnoteReference">
    <w:name w:val="endnote reference"/>
    <w:rsid w:val="00C87A8A"/>
    <w:rPr>
      <w:vertAlign w:val="superscript"/>
    </w:rPr>
  </w:style>
  <w:style w:type="character" w:styleId="UnresolvedMention">
    <w:name w:val="Unresolved Mention"/>
    <w:uiPriority w:val="99"/>
    <w:semiHidden/>
    <w:unhideWhenUsed/>
    <w:rsid w:val="00402C82"/>
    <w:rPr>
      <w:color w:val="808080"/>
      <w:shd w:val="clear" w:color="auto" w:fill="E6E6E6"/>
    </w:rPr>
  </w:style>
  <w:style w:type="paragraph" w:styleId="ListParagraph">
    <w:name w:val="List Paragraph"/>
    <w:basedOn w:val="Normal"/>
    <w:uiPriority w:val="34"/>
    <w:qFormat/>
    <w:rsid w:val="00E84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736828796">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17141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6F393F-F9C9-4DC8-B7B4-374444A46A71}">
  <ds:schemaRefs>
    <ds:schemaRef ds:uri="http://schemas.microsoft.com/office/2006/metadata/longProperties"/>
  </ds:schemaRefs>
</ds:datastoreItem>
</file>

<file path=customXml/itemProps2.xml><?xml version="1.0" encoding="utf-8"?>
<ds:datastoreItem xmlns:ds="http://schemas.openxmlformats.org/officeDocument/2006/customXml" ds:itemID="{9C052991-CA9F-4E14-9040-F0EB0C8B7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1CFD6-28E8-4066-8AE6-435CBE8CFCAE}">
  <ds:schemaRefs>
    <ds:schemaRef ds:uri="http://schemas.microsoft.com/sharepoint/v3/contenttype/forms"/>
  </ds:schemaRefs>
</ds:datastoreItem>
</file>

<file path=customXml/itemProps4.xml><?xml version="1.0" encoding="utf-8"?>
<ds:datastoreItem xmlns:ds="http://schemas.openxmlformats.org/officeDocument/2006/customXml" ds:itemID="{E77FBCE1-32B6-479F-B315-A5B03900D6D2}">
  <ds:schemaRefs>
    <ds:schemaRef ds:uri="http://schemas.openxmlformats.org/officeDocument/2006/bibliography"/>
  </ds:schemaRefs>
</ds:datastoreItem>
</file>

<file path=customXml/itemProps5.xml><?xml version="1.0" encoding="utf-8"?>
<ds:datastoreItem xmlns:ds="http://schemas.openxmlformats.org/officeDocument/2006/customXml" ds:itemID="{0501FEAD-3010-4BA9-B192-F7C39F892B9A}">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IRB Form Expedited Review Checklist for Minimal Risk Activities</vt:lpstr>
    </vt:vector>
  </TitlesOfParts>
  <Company>Fred Hutchinson Cancer Research Center</Company>
  <LinksUpToDate>false</LinksUpToDate>
  <CharactersWithSpaces>10209</CharactersWithSpaces>
  <SharedDoc>false</SharedDoc>
  <HLinks>
    <vt:vector size="6" baseType="variant">
      <vt:variant>
        <vt:i4>1769508</vt:i4>
      </vt:variant>
      <vt:variant>
        <vt:i4>53</vt:i4>
      </vt:variant>
      <vt:variant>
        <vt:i4>0</vt:i4>
      </vt:variant>
      <vt:variant>
        <vt:i4>5</vt:i4>
      </vt:variant>
      <vt:variant>
        <vt:lpwstr>mailto:iro@fredhutch.org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Expedited Review Checklist for Minimal Risk Activities</dc:title>
  <dc:subject/>
  <dc:creator>Luke-Killam</dc:creator>
  <cp:keywords/>
  <cp:lastModifiedBy>Nguyen, Katrina Y</cp:lastModifiedBy>
  <cp:revision>77</cp:revision>
  <cp:lastPrinted>2016-08-01T18:11:00Z</cp:lastPrinted>
  <dcterms:created xsi:type="dcterms:W3CDTF">2023-01-30T19:41:00Z</dcterms:created>
  <dcterms:modified xsi:type="dcterms:W3CDTF">2023-02-27T06:14:00Z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0x010100057F73E75A461F4F824331E3CD4977B8</vt:lpwstr>
  </property>
  <property fmtid="{D5CDD505-2E9C-101B-9397-08002B2CF9AE}" pid="3" name="MediaServiceImageTags">
    <vt:lpwstr/>
  </property>
</Properties>
</file>